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EF457B" w:rsidRDefault="00131398">
      <w:pPr>
        <w:pStyle w:val="Normal1"/>
        <w:spacing w:before="120" w:after="0" w:line="240" w:lineRule="auto"/>
        <w:rPr>
          <w:b/>
          <w:bCs/>
          <w:sz w:val="36"/>
          <w:szCs w:val="36"/>
        </w:rPr>
      </w:pPr>
      <w:r>
        <w:rPr>
          <w:b/>
          <w:bCs/>
          <w:sz w:val="36"/>
          <w:szCs w:val="36"/>
        </w:rPr>
        <w:t>Framework Schedule 3 (Framework Prices)</w:t>
      </w:r>
    </w:p>
    <w:p w14:paraId="00000002" w14:textId="77777777" w:rsidR="00EF457B" w:rsidRDefault="00EF457B">
      <w:pPr>
        <w:pStyle w:val="Normal1"/>
        <w:pBdr>
          <w:top w:val="nil"/>
          <w:left w:val="nil"/>
          <w:bottom w:val="nil"/>
          <w:right w:val="nil"/>
          <w:between w:val="nil"/>
        </w:pBdr>
        <w:tabs>
          <w:tab w:val="left" w:pos="142"/>
        </w:tabs>
        <w:spacing w:before="120" w:after="0" w:line="240" w:lineRule="auto"/>
        <w:jc w:val="both"/>
      </w:pPr>
      <w:bookmarkStart w:id="0" w:name="_heading=h.gjdgxs" w:colFirst="0" w:colLast="0"/>
      <w:bookmarkEnd w:id="0"/>
    </w:p>
    <w:p w14:paraId="00000003" w14:textId="77777777" w:rsidR="00EF457B" w:rsidRDefault="00131398">
      <w:pPr>
        <w:pStyle w:val="Normal1"/>
        <w:numPr>
          <w:ilvl w:val="0"/>
          <w:numId w:val="1"/>
        </w:numPr>
        <w:pBdr>
          <w:top w:val="nil"/>
          <w:left w:val="nil"/>
          <w:bottom w:val="nil"/>
          <w:right w:val="nil"/>
          <w:between w:val="nil"/>
        </w:pBdr>
        <w:tabs>
          <w:tab w:val="left" w:pos="0"/>
        </w:tabs>
        <w:spacing w:before="120" w:after="0" w:line="240" w:lineRule="auto"/>
        <w:ind w:left="426" w:hanging="426"/>
        <w:jc w:val="both"/>
      </w:pPr>
      <w:r>
        <w:rPr>
          <w:b/>
          <w:bCs/>
          <w:color w:val="000000"/>
        </w:rPr>
        <w:t>How Framework Prices are used to calculate Call-Off Charges</w:t>
      </w:r>
    </w:p>
    <w:p w14:paraId="00000004"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 xml:space="preserve">The Framework Prices: </w:t>
      </w:r>
    </w:p>
    <w:p w14:paraId="00000005" w14:textId="77777777" w:rsidR="00EF457B" w:rsidRDefault="00131398">
      <w:pPr>
        <w:pStyle w:val="Normal1"/>
        <w:numPr>
          <w:ilvl w:val="2"/>
          <w:numId w:val="1"/>
        </w:numPr>
        <w:pBdr>
          <w:top w:val="nil"/>
          <w:left w:val="nil"/>
          <w:bottom w:val="nil"/>
          <w:right w:val="nil"/>
          <w:between w:val="nil"/>
        </w:pBdr>
        <w:tabs>
          <w:tab w:val="left" w:pos="1440"/>
          <w:tab w:val="left" w:pos="1985"/>
          <w:tab w:val="left" w:pos="2127"/>
        </w:tabs>
        <w:spacing w:before="120" w:after="0" w:line="240" w:lineRule="auto"/>
        <w:ind w:left="1980" w:hanging="846"/>
      </w:pPr>
      <w:r>
        <w:t xml:space="preserve">will be used as the basis for the Charges (and are maximums that the Supplier may charge) under each Call-Off Contract; </w:t>
      </w:r>
    </w:p>
    <w:p w14:paraId="00000006" w14:textId="77777777" w:rsidR="00EF457B" w:rsidRDefault="00131398">
      <w:pPr>
        <w:pStyle w:val="Normal1"/>
        <w:numPr>
          <w:ilvl w:val="2"/>
          <w:numId w:val="1"/>
        </w:numPr>
        <w:pBdr>
          <w:top w:val="nil"/>
          <w:left w:val="nil"/>
          <w:bottom w:val="nil"/>
          <w:right w:val="nil"/>
          <w:between w:val="nil"/>
        </w:pBdr>
        <w:tabs>
          <w:tab w:val="left" w:pos="1440"/>
          <w:tab w:val="left" w:pos="1985"/>
          <w:tab w:val="left" w:pos="2127"/>
        </w:tabs>
        <w:spacing w:before="120" w:after="0" w:line="240" w:lineRule="auto"/>
        <w:ind w:left="1980" w:hanging="846"/>
      </w:pPr>
      <w:r>
        <w:t>may be decreased by a Supplier as part of the award of a Call-Off Contract; and</w:t>
      </w:r>
    </w:p>
    <w:p w14:paraId="00000007"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cannot be increased except as in accordance with this S</w:t>
      </w:r>
      <w:r>
        <w:t>chedule.</w:t>
      </w:r>
    </w:p>
    <w:p w14:paraId="00000008" w14:textId="77777777" w:rsidR="00EF457B" w:rsidRDefault="00131398">
      <w:pPr>
        <w:pStyle w:val="Normal1"/>
        <w:numPr>
          <w:ilvl w:val="1"/>
          <w:numId w:val="1"/>
        </w:numPr>
        <w:pBdr>
          <w:top w:val="nil"/>
          <w:left w:val="nil"/>
          <w:bottom w:val="nil"/>
          <w:right w:val="nil"/>
          <w:between w:val="nil"/>
        </w:pBdr>
        <w:tabs>
          <w:tab w:val="left" w:pos="709"/>
        </w:tabs>
        <w:spacing w:before="120" w:after="0" w:line="240" w:lineRule="auto"/>
        <w:ind w:left="1134" w:hanging="708"/>
      </w:pPr>
      <w:r>
        <w:t>The Charges:</w:t>
      </w:r>
    </w:p>
    <w:p w14:paraId="00000009"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 xml:space="preserve">shall be calculated in accordance with the terms of the Call-Off Contract and in particular in accordance with the terms of the Order Form; </w:t>
      </w:r>
    </w:p>
    <w:p w14:paraId="0000000A"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shall be varied only where the Framework Prices are varied under this Schedule, and any variations will apply to all Call-Off Contracts, whether entered into before or after the date of the variation, from the date of the variation agreed between the Suppl</w:t>
      </w:r>
      <w:r>
        <w:t xml:space="preserve">ier and CCS. </w:t>
      </w:r>
    </w:p>
    <w:p w14:paraId="0000000B" w14:textId="77777777" w:rsidR="00EF457B" w:rsidRDefault="00131398">
      <w:pPr>
        <w:pStyle w:val="Normal1"/>
        <w:numPr>
          <w:ilvl w:val="0"/>
          <w:numId w:val="1"/>
        </w:numPr>
        <w:pBdr>
          <w:top w:val="nil"/>
          <w:left w:val="nil"/>
          <w:bottom w:val="nil"/>
          <w:right w:val="nil"/>
          <w:between w:val="nil"/>
        </w:pBdr>
        <w:tabs>
          <w:tab w:val="left" w:pos="142"/>
        </w:tabs>
        <w:spacing w:before="120" w:after="0" w:line="240" w:lineRule="auto"/>
        <w:ind w:left="426" w:hanging="426"/>
        <w:jc w:val="both"/>
      </w:pPr>
      <w:bookmarkStart w:id="1" w:name="_heading=h.30j0zll" w:colFirst="0" w:colLast="0"/>
      <w:bookmarkEnd w:id="1"/>
      <w:r>
        <w:rPr>
          <w:b/>
          <w:bCs/>
        </w:rPr>
        <w:t>How Framework Prices are calculated</w:t>
      </w:r>
    </w:p>
    <w:p w14:paraId="0000000C"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The pricing mechanisms and prices set out in Annex 1 shall be available for use in calculation of Framework Prices in Call-Off Contracts.</w:t>
      </w:r>
    </w:p>
    <w:p w14:paraId="0000000D" w14:textId="77777777" w:rsidR="00EF457B" w:rsidRDefault="00131398">
      <w:pPr>
        <w:pStyle w:val="Normal1"/>
        <w:numPr>
          <w:ilvl w:val="0"/>
          <w:numId w:val="1"/>
        </w:numPr>
        <w:pBdr>
          <w:top w:val="nil"/>
          <w:left w:val="nil"/>
          <w:bottom w:val="nil"/>
          <w:right w:val="nil"/>
          <w:between w:val="nil"/>
        </w:pBdr>
        <w:tabs>
          <w:tab w:val="left" w:pos="142"/>
        </w:tabs>
        <w:spacing w:before="120" w:after="0" w:line="240" w:lineRule="auto"/>
        <w:ind w:left="426" w:hanging="426"/>
        <w:jc w:val="both"/>
      </w:pPr>
      <w:bookmarkStart w:id="2" w:name="_heading=h.1fob9te" w:colFirst="0" w:colLast="0"/>
      <w:bookmarkEnd w:id="2"/>
      <w:r>
        <w:rPr>
          <w:b/>
          <w:bCs/>
        </w:rPr>
        <w:t>How costs and expenses are included in the Framework Prices</w:t>
      </w:r>
    </w:p>
    <w:p w14:paraId="0000000E" w14:textId="77777777" w:rsidR="00EF457B" w:rsidRDefault="00131398">
      <w:pPr>
        <w:pStyle w:val="Normal1"/>
        <w:numPr>
          <w:ilvl w:val="1"/>
          <w:numId w:val="1"/>
        </w:numPr>
        <w:pBdr>
          <w:top w:val="nil"/>
          <w:left w:val="nil"/>
          <w:bottom w:val="nil"/>
          <w:right w:val="nil"/>
          <w:between w:val="nil"/>
        </w:pBdr>
        <w:tabs>
          <w:tab w:val="left" w:pos="709"/>
        </w:tabs>
        <w:spacing w:before="120" w:after="0" w:line="240" w:lineRule="auto"/>
        <w:ind w:left="1134" w:hanging="708"/>
      </w:pPr>
      <w:r>
        <w:t>Except as expressly set out in Paragraph 7 below, or otherwise stated in the Order Form the Framework Prices shall include all costs and expenses relating to the provision of Deliverables. No further amounts shall be payable in respect of matters such as:</w:t>
      </w:r>
    </w:p>
    <w:p w14:paraId="0000000F" w14:textId="77777777" w:rsidR="00EF457B" w:rsidRDefault="00131398">
      <w:pPr>
        <w:pStyle w:val="Normal1"/>
        <w:numPr>
          <w:ilvl w:val="1"/>
          <w:numId w:val="1"/>
        </w:numPr>
        <w:pBdr>
          <w:top w:val="nil"/>
          <w:left w:val="nil"/>
          <w:bottom w:val="nil"/>
          <w:right w:val="nil"/>
          <w:between w:val="nil"/>
        </w:pBdr>
        <w:tabs>
          <w:tab w:val="left" w:pos="1980"/>
          <w:tab w:val="left" w:pos="1985"/>
          <w:tab w:val="left" w:pos="2127"/>
        </w:tabs>
        <w:spacing w:before="120" w:after="0" w:line="240" w:lineRule="auto"/>
        <w:ind w:left="1134" w:hanging="708"/>
      </w:pPr>
      <w:r>
        <w:t>incidental expenses such as travel, subsistence and lodging, document or report reproduction, shipping, desktop or office equipment costs, network or data interchange costs or other telecommunications charges; or</w:t>
      </w:r>
    </w:p>
    <w:p w14:paraId="00000010" w14:textId="77777777" w:rsidR="00EF457B" w:rsidRDefault="00131398">
      <w:pPr>
        <w:pStyle w:val="Normal1"/>
        <w:numPr>
          <w:ilvl w:val="1"/>
          <w:numId w:val="1"/>
        </w:numPr>
        <w:pBdr>
          <w:top w:val="nil"/>
          <w:left w:val="nil"/>
          <w:bottom w:val="nil"/>
          <w:right w:val="nil"/>
          <w:between w:val="nil"/>
        </w:pBdr>
        <w:tabs>
          <w:tab w:val="left" w:pos="1980"/>
          <w:tab w:val="left" w:pos="1985"/>
          <w:tab w:val="left" w:pos="2127"/>
        </w:tabs>
        <w:spacing w:before="120" w:after="0" w:line="240" w:lineRule="auto"/>
        <w:ind w:left="1134" w:hanging="708"/>
      </w:pPr>
      <w:r>
        <w:t>costs incurred prior to the commencement of</w:t>
      </w:r>
      <w:r>
        <w:t xml:space="preserve"> any Call-Off Contract.</w:t>
      </w:r>
    </w:p>
    <w:p w14:paraId="00000011" w14:textId="77777777" w:rsidR="00EF457B" w:rsidRDefault="00131398">
      <w:pPr>
        <w:pStyle w:val="Normal1"/>
        <w:numPr>
          <w:ilvl w:val="0"/>
          <w:numId w:val="1"/>
        </w:numPr>
        <w:pBdr>
          <w:top w:val="nil"/>
          <w:left w:val="nil"/>
          <w:bottom w:val="nil"/>
          <w:right w:val="nil"/>
          <w:between w:val="nil"/>
        </w:pBdr>
        <w:tabs>
          <w:tab w:val="left" w:pos="426"/>
        </w:tabs>
        <w:spacing w:before="120" w:after="0" w:line="240" w:lineRule="auto"/>
        <w:ind w:left="426" w:hanging="426"/>
        <w:jc w:val="both"/>
      </w:pPr>
      <w:r>
        <w:rPr>
          <w:b/>
          <w:bCs/>
        </w:rPr>
        <w:t>When the Supplier can ask to change the Framework Prices</w:t>
      </w:r>
    </w:p>
    <w:p w14:paraId="00000012"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The Framework Prices will be fixed for specific periods depending on the relevant Lot as follows:</w:t>
      </w:r>
    </w:p>
    <w:p w14:paraId="00000013" w14:textId="77777777" w:rsidR="00EF457B" w:rsidRDefault="00131398">
      <w:pPr>
        <w:pStyle w:val="Normal1"/>
        <w:numPr>
          <w:ilvl w:val="2"/>
          <w:numId w:val="1"/>
        </w:numPr>
        <w:pBdr>
          <w:top w:val="nil"/>
          <w:left w:val="nil"/>
          <w:bottom w:val="nil"/>
          <w:right w:val="nil"/>
          <w:between w:val="nil"/>
        </w:pBdr>
        <w:tabs>
          <w:tab w:val="left" w:pos="1440"/>
          <w:tab w:val="left" w:pos="1985"/>
          <w:tab w:val="left" w:pos="2127"/>
        </w:tabs>
        <w:spacing w:before="120" w:after="0" w:line="240" w:lineRule="auto"/>
        <w:ind w:left="1980" w:hanging="846"/>
      </w:pPr>
      <w:r>
        <w:t xml:space="preserve">Framework Prices in relation to Lots 1, 2 and 7 will be fixed for one (1) </w:t>
      </w:r>
      <w:r>
        <w:t>Contract Year; and</w:t>
      </w:r>
    </w:p>
    <w:p w14:paraId="00000014" w14:textId="77777777" w:rsidR="00EF457B" w:rsidRDefault="00131398">
      <w:pPr>
        <w:pStyle w:val="Normal1"/>
        <w:numPr>
          <w:ilvl w:val="2"/>
          <w:numId w:val="1"/>
        </w:numPr>
        <w:pBdr>
          <w:top w:val="nil"/>
          <w:left w:val="nil"/>
          <w:bottom w:val="nil"/>
          <w:right w:val="nil"/>
          <w:between w:val="nil"/>
        </w:pBdr>
        <w:tabs>
          <w:tab w:val="left" w:pos="1440"/>
          <w:tab w:val="left" w:pos="1985"/>
          <w:tab w:val="left" w:pos="2127"/>
        </w:tabs>
        <w:spacing w:before="120" w:after="0" w:line="240" w:lineRule="auto"/>
        <w:ind w:left="1980" w:hanging="846"/>
      </w:pPr>
      <w:r>
        <w:t>Framework Prices for Lots 3, 4, 5, 6, and 8 will be fixed for the first two (2) Contract Years,</w:t>
      </w:r>
    </w:p>
    <w:p w14:paraId="00000015" w14:textId="77777777" w:rsidR="00EF457B" w:rsidRDefault="00131398">
      <w:pPr>
        <w:pStyle w:val="Normal1"/>
        <w:pBdr>
          <w:top w:val="nil"/>
          <w:left w:val="nil"/>
          <w:bottom w:val="nil"/>
          <w:right w:val="nil"/>
          <w:between w:val="nil"/>
        </w:pBdr>
        <w:tabs>
          <w:tab w:val="left" w:pos="1440"/>
          <w:tab w:val="left" w:pos="1985"/>
          <w:tab w:val="left" w:pos="2127"/>
        </w:tabs>
        <w:spacing w:before="120" w:after="0" w:line="240" w:lineRule="auto"/>
        <w:ind w:left="1980"/>
      </w:pPr>
      <w:r>
        <w:t xml:space="preserve">following the Framework Start Date (the date of expiry of such period is a "Review Date"). After this Framework Prices can only </w:t>
      </w:r>
      <w:r>
        <w:lastRenderedPageBreak/>
        <w:t>be adjusted o</w:t>
      </w:r>
      <w:r>
        <w:t>n each following yearly anniversary (the date of each such anniversary is also a "</w:t>
      </w:r>
      <w:r>
        <w:rPr>
          <w:b/>
          <w:bCs/>
        </w:rPr>
        <w:t>Review Date</w:t>
      </w:r>
      <w:r>
        <w:t xml:space="preserve">"). </w:t>
      </w:r>
    </w:p>
    <w:p w14:paraId="00000016"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bookmarkStart w:id="3" w:name="_heading=h.2et92p0" w:colFirst="0" w:colLast="0"/>
      <w:bookmarkEnd w:id="3"/>
      <w:r>
        <w:t>The Supplier shall give CCS at least three (3) Months' notice in writing prior to a Review Date where it wants to request an increase. Any increase in relatio</w:t>
      </w:r>
      <w:r>
        <w:t>n to Lots 1, 2 and 7 shall only be increased with changes in inflation in accordance with this Schedule and the relevant Lot 1, 2 or 7 Media Measurement Methodology . Any increase in relation to Lots 3, 4, 5, 6 and 8 can be requested in accordance with par</w:t>
      </w:r>
      <w:r>
        <w:t xml:space="preserve">agraph 4.3 of this Schedule. If the Supplier does not give notice in time then it will only be able to request an increase prior to the next Review Date. </w:t>
      </w:r>
    </w:p>
    <w:p w14:paraId="00000017"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Any notice requesting an increase shall include:</w:t>
      </w:r>
    </w:p>
    <w:p w14:paraId="00000018" w14:textId="77777777" w:rsidR="00EF457B" w:rsidRDefault="00131398">
      <w:pPr>
        <w:pStyle w:val="Normal1"/>
        <w:numPr>
          <w:ilvl w:val="2"/>
          <w:numId w:val="1"/>
        </w:numPr>
        <w:pBdr>
          <w:top w:val="nil"/>
          <w:left w:val="nil"/>
          <w:bottom w:val="nil"/>
          <w:right w:val="nil"/>
          <w:between w:val="nil"/>
        </w:pBdr>
        <w:tabs>
          <w:tab w:val="left" w:pos="1985"/>
        </w:tabs>
        <w:spacing w:before="120" w:after="0" w:line="240" w:lineRule="auto"/>
        <w:ind w:left="1980" w:hanging="846"/>
      </w:pPr>
      <w:r>
        <w:t xml:space="preserve">a list of the Framework Prices to be </w:t>
      </w:r>
      <w:r>
        <w:t>reviewed;</w:t>
      </w:r>
    </w:p>
    <w:p w14:paraId="00000019"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for each Framework Price under review, written evidence of the justification for the requested increase including:</w:t>
      </w:r>
    </w:p>
    <w:p w14:paraId="0000001A" w14:textId="77777777" w:rsidR="00EF457B" w:rsidRDefault="00131398">
      <w:pPr>
        <w:pStyle w:val="Normal1"/>
        <w:numPr>
          <w:ilvl w:val="3"/>
          <w:numId w:val="1"/>
        </w:numPr>
        <w:pBdr>
          <w:top w:val="nil"/>
          <w:left w:val="nil"/>
          <w:bottom w:val="nil"/>
          <w:right w:val="nil"/>
          <w:between w:val="nil"/>
        </w:pBdr>
        <w:spacing w:before="120" w:after="0" w:line="240" w:lineRule="auto"/>
        <w:ind w:left="2835" w:hanging="850"/>
        <w:rPr>
          <w:b/>
          <w:bCs/>
          <w:i/>
          <w:iCs/>
        </w:rPr>
      </w:pPr>
      <w:r>
        <w:t>a breakdown of the profit and cost components that comprise the relevant Framework Price;</w:t>
      </w:r>
    </w:p>
    <w:p w14:paraId="0000001B" w14:textId="77777777" w:rsidR="00EF457B" w:rsidRDefault="00131398">
      <w:pPr>
        <w:pStyle w:val="Normal1"/>
        <w:numPr>
          <w:ilvl w:val="3"/>
          <w:numId w:val="1"/>
        </w:numPr>
        <w:pBdr>
          <w:top w:val="nil"/>
          <w:left w:val="nil"/>
          <w:bottom w:val="nil"/>
          <w:right w:val="nil"/>
          <w:between w:val="nil"/>
        </w:pBdr>
        <w:spacing w:before="120" w:after="0" w:line="240" w:lineRule="auto"/>
        <w:ind w:left="2836" w:hanging="851"/>
      </w:pPr>
      <w:r>
        <w:t xml:space="preserve">details of the movement in the </w:t>
      </w:r>
      <w:r>
        <w:t>different identified cost components of the relevant Framework Price;</w:t>
      </w:r>
    </w:p>
    <w:p w14:paraId="0000001C" w14:textId="77777777" w:rsidR="00EF457B" w:rsidRDefault="00131398">
      <w:pPr>
        <w:pStyle w:val="Normal1"/>
        <w:numPr>
          <w:ilvl w:val="3"/>
          <w:numId w:val="1"/>
        </w:numPr>
        <w:pBdr>
          <w:top w:val="nil"/>
          <w:left w:val="nil"/>
          <w:bottom w:val="nil"/>
          <w:right w:val="nil"/>
          <w:between w:val="nil"/>
        </w:pBdr>
        <w:spacing w:before="120" w:after="0" w:line="240" w:lineRule="auto"/>
        <w:ind w:left="2836" w:hanging="851"/>
      </w:pPr>
      <w:r>
        <w:t>reasons for the movement in the different identified cost components of the relevant Framework Price;</w:t>
      </w:r>
    </w:p>
    <w:p w14:paraId="0000001D" w14:textId="77777777" w:rsidR="00EF457B" w:rsidRDefault="00131398">
      <w:pPr>
        <w:pStyle w:val="Normal1"/>
        <w:numPr>
          <w:ilvl w:val="3"/>
          <w:numId w:val="1"/>
        </w:numPr>
        <w:pBdr>
          <w:top w:val="nil"/>
          <w:left w:val="nil"/>
          <w:bottom w:val="nil"/>
          <w:right w:val="nil"/>
          <w:between w:val="nil"/>
        </w:pBdr>
        <w:spacing w:before="120" w:after="0" w:line="240" w:lineRule="auto"/>
        <w:ind w:left="2836" w:hanging="851"/>
      </w:pPr>
      <w:r>
        <w:t>evidence that the Supplier has attempted to mitigate against the increase in the rel</w:t>
      </w:r>
      <w:r>
        <w:t>evant cost components; and</w:t>
      </w:r>
    </w:p>
    <w:p w14:paraId="0000001E" w14:textId="77777777" w:rsidR="00EF457B" w:rsidRDefault="00131398">
      <w:pPr>
        <w:pStyle w:val="Normal1"/>
        <w:numPr>
          <w:ilvl w:val="3"/>
          <w:numId w:val="1"/>
        </w:numPr>
        <w:pBdr>
          <w:top w:val="nil"/>
          <w:left w:val="nil"/>
          <w:bottom w:val="nil"/>
          <w:right w:val="nil"/>
          <w:between w:val="nil"/>
        </w:pBdr>
        <w:spacing w:before="120" w:after="0" w:line="240" w:lineRule="auto"/>
        <w:ind w:left="2836" w:hanging="851"/>
      </w:pPr>
      <w:r>
        <w:t>evidence that the Supplier’s profit component of the relevant Framework Price is no greater than that applying to Framework Prices using the same pricing mechanism as at the Framework Start Date.</w:t>
      </w:r>
    </w:p>
    <w:p w14:paraId="0000001F"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CCS shall consider each request f</w:t>
      </w:r>
      <w:r>
        <w:t>or a price increase. CCS may grant approval to an increase at its sole discretion.</w:t>
      </w:r>
    </w:p>
    <w:p w14:paraId="00000020"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 xml:space="preserve">Where CCS employ the services of a third party to verify any request by the Supplier under this clause 4, CCS is entitled to recover those costs from the Supplier. </w:t>
      </w:r>
    </w:p>
    <w:p w14:paraId="00000021"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Where CC</w:t>
      </w:r>
      <w:r>
        <w:t>S approves an increase then it will be implemented within three (3) Months following the relevant Review Date or such later date as CCS may determine at its sole discretion and Annex 1 shall be updated accordingly.</w:t>
      </w:r>
    </w:p>
    <w:p w14:paraId="00000022" w14:textId="77777777" w:rsidR="00EF457B" w:rsidRDefault="00131398">
      <w:pPr>
        <w:pStyle w:val="Normal1"/>
        <w:numPr>
          <w:ilvl w:val="0"/>
          <w:numId w:val="1"/>
        </w:numPr>
        <w:pBdr>
          <w:top w:val="nil"/>
          <w:left w:val="nil"/>
          <w:bottom w:val="nil"/>
          <w:right w:val="nil"/>
          <w:between w:val="nil"/>
        </w:pBdr>
        <w:tabs>
          <w:tab w:val="left" w:pos="142"/>
        </w:tabs>
        <w:spacing w:before="120" w:after="0" w:line="240" w:lineRule="auto"/>
        <w:ind w:left="426" w:hanging="426"/>
        <w:jc w:val="both"/>
      </w:pPr>
      <w:r>
        <w:rPr>
          <w:b/>
          <w:bCs/>
        </w:rPr>
        <w:t xml:space="preserve">Other events that allow the </w:t>
      </w:r>
      <w:r>
        <w:rPr>
          <w:b/>
          <w:bCs/>
        </w:rPr>
        <w:t>Supplier to change the Framework Prices</w:t>
      </w:r>
    </w:p>
    <w:p w14:paraId="00000023"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The Framework Prices can also be varied (and Annex 1 will be updated accordingly) due to:</w:t>
      </w:r>
    </w:p>
    <w:p w14:paraId="00000024"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 xml:space="preserve">a Specific Change in Law in accordance with Clause 27 </w:t>
      </w:r>
      <w:r>
        <w:rPr>
          <w:i/>
          <w:iCs/>
        </w:rPr>
        <w:t>(Changing the Contract)</w:t>
      </w:r>
      <w:r>
        <w:t xml:space="preserve"> of the General Terms;</w:t>
      </w:r>
    </w:p>
    <w:p w14:paraId="00000025"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lastRenderedPageBreak/>
        <w:t>a review in accordance wit</w:t>
      </w:r>
      <w:r>
        <w:t xml:space="preserve">h insurance requirements in Clause 16 </w:t>
      </w:r>
      <w:r>
        <w:rPr>
          <w:i/>
          <w:iCs/>
        </w:rPr>
        <w:t>(Insurance)</w:t>
      </w:r>
      <w:r>
        <w:t xml:space="preserve"> of the General Terms;</w:t>
      </w:r>
    </w:p>
    <w:p w14:paraId="00000026"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10"/>
      </w:pPr>
      <w:r>
        <w:t>a request from the Supplier, which it can make at any time, to decrease the Framework Prices; and</w:t>
      </w:r>
    </w:p>
    <w:p w14:paraId="00000027"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10"/>
      </w:pPr>
      <w:r>
        <w:t xml:space="preserve">indexation, where Annex 1 states that a particular Framework Price or any component is “subject to Indexation” in which event Paragraph 6 below shall apply. </w:t>
      </w:r>
    </w:p>
    <w:p w14:paraId="00000028" w14:textId="77777777" w:rsidR="00EF457B" w:rsidRDefault="00131398">
      <w:pPr>
        <w:pStyle w:val="Normal1"/>
        <w:numPr>
          <w:ilvl w:val="0"/>
          <w:numId w:val="1"/>
        </w:numPr>
        <w:pBdr>
          <w:top w:val="nil"/>
          <w:left w:val="nil"/>
          <w:bottom w:val="nil"/>
          <w:right w:val="nil"/>
          <w:between w:val="nil"/>
        </w:pBdr>
        <w:tabs>
          <w:tab w:val="left" w:pos="142"/>
        </w:tabs>
        <w:spacing w:before="120" w:after="0" w:line="240" w:lineRule="auto"/>
        <w:ind w:left="426" w:hanging="426"/>
        <w:jc w:val="both"/>
        <w:rPr>
          <w:b/>
          <w:bCs/>
        </w:rPr>
      </w:pPr>
      <w:r>
        <w:rPr>
          <w:b/>
          <w:bCs/>
        </w:rPr>
        <w:t xml:space="preserve">When the Framework Prices are linked to inflation </w:t>
      </w:r>
    </w:p>
    <w:p w14:paraId="00000029"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Framework Prices, where identified, are subject</w:t>
      </w:r>
      <w:r>
        <w:t xml:space="preserve"> to inflation as set out in Annex 1 of this Schedule.</w:t>
      </w:r>
    </w:p>
    <w:p w14:paraId="0000002A"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Any costs, expenses, fees or charges charged by the Supplier to the Buyer in respect of Supplier Assets or Buyer Assets (including capital costs and installation, maintenance and support costs) which ar</w:t>
      </w:r>
      <w:r>
        <w:t>e incurred by the Supplier prior to the relevant adjustment date but which remain to be recovered through the Charges shall not be subject to adjustment under this Paragraph 6 and shall not be included in the relevant amount or sum for the purposes of Para</w:t>
      </w:r>
      <w:r>
        <w:t>graph 6.1.</w:t>
      </w:r>
    </w:p>
    <w:p w14:paraId="0000002B"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 xml:space="preserve">Framework Prices shall be subject to indexation where specified in accordance with Annex 1 of this Schedule and only in accordance with Paragraph 4, in particular Paragraph 4.1. </w:t>
      </w:r>
    </w:p>
    <w:p w14:paraId="0000002C" w14:textId="77777777" w:rsidR="00EF457B" w:rsidRDefault="00131398">
      <w:pPr>
        <w:pStyle w:val="Normal1"/>
        <w:numPr>
          <w:ilvl w:val="1"/>
          <w:numId w:val="1"/>
        </w:numPr>
        <w:pBdr>
          <w:top w:val="nil"/>
          <w:left w:val="nil"/>
          <w:bottom w:val="nil"/>
          <w:right w:val="nil"/>
          <w:between w:val="nil"/>
        </w:pBdr>
        <w:tabs>
          <w:tab w:val="left" w:pos="1134"/>
        </w:tabs>
        <w:spacing w:before="120" w:after="0" w:line="240" w:lineRule="auto"/>
        <w:ind w:left="1134" w:hanging="708"/>
      </w:pPr>
      <w:r>
        <w:t>Where the Index:</w:t>
      </w:r>
    </w:p>
    <w:p w14:paraId="0000002D"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 xml:space="preserve">used to carry out an indexation calculation is updated (for </w:t>
      </w:r>
      <w:r>
        <w:t xml:space="preserve">example due to it being provisional) then the indexation calculation shall also be updated unless CCS and the Supplier agree otherwise; </w:t>
      </w:r>
    </w:p>
    <w:p w14:paraId="0000002E" w14:textId="77777777" w:rsidR="00EF457B" w:rsidRDefault="00131398">
      <w:pPr>
        <w:pStyle w:val="Normal1"/>
        <w:numPr>
          <w:ilvl w:val="2"/>
          <w:numId w:val="1"/>
        </w:numPr>
        <w:pBdr>
          <w:top w:val="nil"/>
          <w:left w:val="nil"/>
          <w:bottom w:val="nil"/>
          <w:right w:val="nil"/>
          <w:between w:val="nil"/>
        </w:pBdr>
        <w:tabs>
          <w:tab w:val="left" w:pos="1985"/>
          <w:tab w:val="left" w:pos="2127"/>
        </w:tabs>
        <w:spacing w:before="120" w:after="0" w:line="240" w:lineRule="auto"/>
        <w:ind w:left="1980" w:hanging="846"/>
      </w:pPr>
      <w:r>
        <w:t>is no longer published, CCS and the Supplier shall agree an appropriate replacement index which shall cover to the maxi</w:t>
      </w:r>
      <w:r>
        <w:t>mum extent possible the same economic activities as the original index.</w:t>
      </w:r>
    </w:p>
    <w:p w14:paraId="0000002F" w14:textId="77777777" w:rsidR="00EF457B" w:rsidRDefault="00131398">
      <w:pPr>
        <w:pStyle w:val="Normal1"/>
        <w:numPr>
          <w:ilvl w:val="0"/>
          <w:numId w:val="1"/>
        </w:numPr>
        <w:pBdr>
          <w:top w:val="nil"/>
          <w:left w:val="nil"/>
          <w:bottom w:val="nil"/>
          <w:right w:val="nil"/>
          <w:between w:val="nil"/>
        </w:pBdr>
        <w:tabs>
          <w:tab w:val="left" w:pos="142"/>
        </w:tabs>
        <w:spacing w:before="120" w:after="0" w:line="240" w:lineRule="auto"/>
        <w:ind w:left="426" w:hanging="426"/>
        <w:jc w:val="both"/>
        <w:rPr>
          <w:b/>
          <w:bCs/>
        </w:rPr>
      </w:pPr>
      <w:r>
        <w:rPr>
          <w:b/>
          <w:bCs/>
        </w:rPr>
        <w:t xml:space="preserve"> When you will be reimbursed for travel and subsistence</w:t>
      </w:r>
    </w:p>
    <w:p w14:paraId="00000030" w14:textId="77777777" w:rsidR="00EF457B" w:rsidRDefault="00131398">
      <w:pPr>
        <w:pStyle w:val="Normal1"/>
        <w:numPr>
          <w:ilvl w:val="2"/>
          <w:numId w:val="1"/>
        </w:numPr>
        <w:pBdr>
          <w:top w:val="nil"/>
          <w:left w:val="nil"/>
          <w:bottom w:val="nil"/>
          <w:right w:val="nil"/>
          <w:between w:val="nil"/>
        </w:pBdr>
        <w:tabs>
          <w:tab w:val="left" w:pos="1980"/>
          <w:tab w:val="left" w:pos="1985"/>
          <w:tab w:val="left" w:pos="2127"/>
        </w:tabs>
        <w:spacing w:before="120" w:after="0" w:line="240" w:lineRule="auto"/>
        <w:ind w:left="1980" w:hanging="846"/>
      </w:pPr>
      <w:r>
        <w:t>Expenses shall not be recoverable under any Lots in accordance with this Framework Contract.</w:t>
      </w:r>
    </w:p>
    <w:p w14:paraId="00000031" w14:textId="77777777" w:rsidR="00EF457B" w:rsidRDefault="00EF457B">
      <w:pPr>
        <w:pStyle w:val="Normal1"/>
        <w:pBdr>
          <w:top w:val="nil"/>
          <w:left w:val="nil"/>
          <w:bottom w:val="nil"/>
          <w:right w:val="nil"/>
          <w:between w:val="nil"/>
        </w:pBdr>
        <w:tabs>
          <w:tab w:val="left" w:pos="0"/>
        </w:tabs>
        <w:spacing w:before="120" w:after="0" w:line="240" w:lineRule="auto"/>
        <w:ind w:left="644" w:hanging="360"/>
        <w:jc w:val="both"/>
        <w:rPr>
          <w:b/>
          <w:bCs/>
          <w:smallCaps/>
          <w:highlight w:val="yellow"/>
        </w:rPr>
      </w:pPr>
      <w:bookmarkStart w:id="4" w:name="_heading=h.3dy6vkm" w:colFirst="0" w:colLast="0"/>
      <w:bookmarkEnd w:id="4"/>
    </w:p>
    <w:p w14:paraId="00000032" w14:textId="77777777" w:rsidR="00EF457B" w:rsidRDefault="00EF457B">
      <w:pPr>
        <w:pStyle w:val="Normal1"/>
        <w:pBdr>
          <w:top w:val="nil"/>
          <w:left w:val="nil"/>
          <w:bottom w:val="nil"/>
          <w:right w:val="nil"/>
          <w:between w:val="nil"/>
        </w:pBdr>
        <w:tabs>
          <w:tab w:val="left" w:pos="1985"/>
          <w:tab w:val="left" w:pos="2127"/>
        </w:tabs>
        <w:spacing w:before="120" w:after="0" w:line="240" w:lineRule="auto"/>
        <w:ind w:left="1656" w:hanging="1372"/>
      </w:pPr>
    </w:p>
    <w:p w14:paraId="00000033" w14:textId="77777777" w:rsidR="00EF457B" w:rsidRDefault="00131398">
      <w:pPr>
        <w:pStyle w:val="Normal1"/>
        <w:spacing w:before="120" w:after="0" w:line="240" w:lineRule="auto"/>
        <w:rPr>
          <w:b/>
          <w:bCs/>
          <w:sz w:val="36"/>
          <w:szCs w:val="36"/>
        </w:rPr>
      </w:pPr>
      <w:bookmarkStart w:id="5" w:name="_heading=h.1t3h5sf" w:colFirst="0" w:colLast="0"/>
      <w:bookmarkEnd w:id="5"/>
      <w:r>
        <w:br w:type="page"/>
      </w:r>
      <w:r>
        <w:rPr>
          <w:b/>
          <w:bCs/>
          <w:sz w:val="36"/>
          <w:szCs w:val="36"/>
        </w:rPr>
        <w:lastRenderedPageBreak/>
        <w:t>Annex 1: Rates and Prices</w:t>
      </w:r>
    </w:p>
    <w:p w14:paraId="000000C9" w14:textId="7EB0AFEA" w:rsidR="00EF457B" w:rsidRDefault="002D6E90" w:rsidP="002D6E90">
      <w:pPr>
        <w:pStyle w:val="Normal1"/>
        <w:pBdr>
          <w:top w:val="single" w:sz="4" w:space="31" w:color="FFFFFF"/>
          <w:left w:val="single" w:sz="4" w:space="31" w:color="FFFFFF"/>
          <w:bottom w:val="single" w:sz="4" w:space="31" w:color="FFFFFF"/>
          <w:right w:val="single" w:sz="4" w:space="31" w:color="FFFFFF"/>
        </w:pBdr>
        <w:spacing w:after="0" w:line="240" w:lineRule="auto"/>
        <w:jc w:val="both"/>
        <w:rPr>
          <w:b/>
          <w:bCs/>
        </w:rPr>
      </w:pPr>
      <w:r>
        <w:rPr>
          <w:b/>
          <w:bCs/>
        </w:rPr>
        <w:t>Redacted under FOIA section 43, Commercial Interests</w:t>
      </w:r>
    </w:p>
    <w:sectPr w:rsidR="00EF457B">
      <w:headerReference w:type="even" r:id="rId10"/>
      <w:headerReference w:type="default" r:id="rId11"/>
      <w:footerReference w:type="even" r:id="rId12"/>
      <w:footerReference w:type="default" r:id="rId13"/>
      <w:headerReference w:type="first" r:id="rId14"/>
      <w:footerReference w:type="first" r:id="rId15"/>
      <w:pgSz w:w="11906" w:h="16838"/>
      <w:pgMar w:top="1888"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94E8F" w14:textId="77777777" w:rsidR="00131398" w:rsidRDefault="00131398">
      <w:pPr>
        <w:spacing w:after="0" w:line="240" w:lineRule="auto"/>
      </w:pPr>
      <w:r>
        <w:separator/>
      </w:r>
    </w:p>
  </w:endnote>
  <w:endnote w:type="continuationSeparator" w:id="0">
    <w:p w14:paraId="6F6201FE" w14:textId="77777777" w:rsidR="00131398" w:rsidRDefault="00131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default"/>
  </w:font>
  <w:font w:name="STZhongsong">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200247B" w:usb2="00000009" w:usb3="00000000" w:csb0="000001FF" w:csb1="00000000"/>
    <w:embedRegular r:id="rId1" w:fontKey="{3DA2F26C-C3E3-49CD-8B7F-9CF47746E747}"/>
    <w:embedBold r:id="rId2" w:fontKey="{96B51989-206D-4E70-BB73-2128A74664FD}"/>
    <w:embedBoldItalic r:id="rId3" w:fontKey="{F54DA9E5-4347-40FA-8686-4BB6BC6F52DA}"/>
  </w:font>
  <w:font w:name="Tahoma">
    <w:panose1 w:val="020B0604030504040204"/>
    <w:charset w:val="00"/>
    <w:family w:val="swiss"/>
    <w:pitch w:val="variable"/>
    <w:sig w:usb0="E1002EFF" w:usb1="C000605B" w:usb2="00000029" w:usb3="00000000" w:csb0="000101FF" w:csb1="00000000"/>
    <w:embedRegular r:id="rId4" w:fontKey="{FCD928CC-27E3-4D16-8618-00BDB3FC03F5}"/>
  </w:font>
  <w:font w:name="Georgia">
    <w:panose1 w:val="02040502050405020303"/>
    <w:charset w:val="00"/>
    <w:family w:val="roman"/>
    <w:pitch w:val="variable"/>
    <w:sig w:usb0="00000287" w:usb1="00000000" w:usb2="00000000" w:usb3="00000000" w:csb0="0000009F" w:csb1="00000000"/>
    <w:embedItalic r:id="rId5" w:fontKey="{3FBD8721-B817-4A63-8CE0-FAC7ACA98CCC}"/>
  </w:font>
  <w:font w:name="Cambria">
    <w:panose1 w:val="02040503050406030204"/>
    <w:charset w:val="00"/>
    <w:family w:val="roman"/>
    <w:pitch w:val="variable"/>
    <w:sig w:usb0="E00006FF" w:usb1="420024FF" w:usb2="02000000" w:usb3="00000000" w:csb0="0000019F" w:csb1="00000000"/>
    <w:embedRegular r:id="rId6" w:fontKey="{293D7241-2053-45B8-90CF-AEE94556CE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6" w:name="_heading=h.qorj9f3eg3ps" w:colFirst="0" w:colLast="0"/>
  <w:bookmarkEnd w:id="6"/>
  <w:p w14:paraId="000000D0" w14:textId="77777777" w:rsidR="00EF457B" w:rsidRDefault="00131398">
    <w:pPr>
      <w:pStyle w:val="Normal1"/>
      <w:pBdr>
        <w:top w:val="nil"/>
        <w:left w:val="nil"/>
        <w:bottom w:val="nil"/>
        <w:right w:val="nil"/>
        <w:between w:val="nil"/>
      </w:pBdr>
      <w:tabs>
        <w:tab w:val="center" w:pos="4513"/>
        <w:tab w:val="right" w:pos="9026"/>
      </w:tabs>
      <w:spacing w:after="0" w:line="240" w:lineRule="auto"/>
      <w:rPr>
        <w:rFonts w:ascii="Times New Roman" w:eastAsia="Times New Roman" w:hAnsi="Times New Roman" w:cs="Times New Roman"/>
        <w:color w:val="000000"/>
        <w:sz w:val="18"/>
        <w:szCs w:val="18"/>
      </w:rPr>
    </w:pPr>
    <w:r>
      <w:fldChar w:fldCharType="begin"/>
    </w:r>
    <w:r>
      <w:instrText xml:space="preserve"> DOCPROPERTY "CUS_DocIDChunk0"</w:instrText>
    </w:r>
    <w:r>
      <w:fldChar w:fldCharType="separate"/>
    </w:r>
    <w:r>
      <w:rPr>
        <w:rFonts w:ascii="Times New Roman" w:eastAsia="Times New Roman" w:hAnsi="Times New Roman" w:cs="Times New Roman"/>
        <w:color w:val="000000"/>
        <w:sz w:val="18"/>
        <w:szCs w:val="18"/>
      </w:rPr>
      <w:t>LEGAL\014611\00057\74113158.v1-6/2/25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1" w14:textId="77777777" w:rsidR="00EF457B" w:rsidRDefault="00131398">
    <w:pPr>
      <w:pStyle w:val="Normal1"/>
      <w:pBdr>
        <w:top w:val="nil"/>
        <w:left w:val="nil"/>
        <w:bottom w:val="nil"/>
        <w:right w:val="nil"/>
        <w:between w:val="nil"/>
      </w:pBdr>
      <w:tabs>
        <w:tab w:val="center" w:pos="4513"/>
        <w:tab w:val="right" w:pos="9026"/>
      </w:tabs>
      <w:spacing w:after="0" w:line="240" w:lineRule="auto"/>
      <w:rPr>
        <w:sz w:val="18"/>
        <w:szCs w:val="18"/>
      </w:rPr>
    </w:pPr>
    <w:r>
      <w:rPr>
        <w:sz w:val="18"/>
        <w:szCs w:val="18"/>
      </w:rPr>
      <w:t>Framework Ref: RM6364</w:t>
    </w:r>
  </w:p>
  <w:p w14:paraId="000000D2" w14:textId="77777777" w:rsidR="00EF457B" w:rsidRDefault="00EF457B">
    <w:pPr>
      <w:pStyle w:val="Normal1"/>
      <w:pBdr>
        <w:top w:val="nil"/>
        <w:left w:val="nil"/>
        <w:bottom w:val="nil"/>
        <w:right w:val="nil"/>
        <w:between w:val="nil"/>
      </w:pBdr>
      <w:tabs>
        <w:tab w:val="center" w:pos="4513"/>
        <w:tab w:val="right" w:pos="9026"/>
      </w:tabs>
      <w:spacing w:after="0" w:line="240" w:lineRule="auto"/>
      <w:jc w:val="right"/>
      <w:rPr>
        <w:sz w:val="16"/>
        <w:szCs w:val="16"/>
      </w:rPr>
    </w:pPr>
  </w:p>
  <w:p w14:paraId="000000D3" w14:textId="77777777" w:rsidR="00EF457B" w:rsidRDefault="00131398">
    <w:pPr>
      <w:pStyle w:val="Normal1"/>
      <w:pBdr>
        <w:top w:val="nil"/>
        <w:left w:val="nil"/>
        <w:bottom w:val="nil"/>
        <w:right w:val="nil"/>
        <w:between w:val="nil"/>
      </w:pBdr>
      <w:tabs>
        <w:tab w:val="center" w:pos="4513"/>
        <w:tab w:val="right" w:pos="9026"/>
      </w:tabs>
      <w:spacing w:after="0" w:line="240" w:lineRule="auto"/>
      <w:jc w:val="right"/>
      <w:rPr>
        <w:color w:val="000000"/>
        <w:sz w:val="8"/>
        <w:szCs w:val="8"/>
      </w:rPr>
    </w:pPr>
    <w:r>
      <w:fldChar w:fldCharType="begin"/>
    </w:r>
    <w:r>
      <w:instrText xml:space="preserve"> DOCPROPERTY "iManageFooter"</w:instrText>
    </w:r>
    <w:r>
      <w:fldChar w:fldCharType="separate"/>
    </w:r>
    <w:r>
      <w:rPr>
        <w:sz w:val="16"/>
        <w:szCs w:val="16"/>
      </w:rPr>
      <w:t>74113158v1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4" w14:textId="77777777" w:rsidR="00EF457B" w:rsidRDefault="00131398">
    <w:pPr>
      <w:pStyle w:val="Normal1"/>
      <w:tabs>
        <w:tab w:val="center" w:pos="4513"/>
        <w:tab w:val="right" w:pos="9026"/>
      </w:tabs>
      <w:spacing w:after="0"/>
    </w:pPr>
    <w:r>
      <w:t>Framework Ref: RM</w:t>
    </w:r>
    <w:r>
      <w:tab/>
      <w:t xml:space="preserve">                                           </w:t>
    </w:r>
  </w:p>
  <w:p w14:paraId="000000D5" w14:textId="77777777" w:rsidR="00EF457B" w:rsidRDefault="00131398">
    <w:pPr>
      <w:pStyle w:val="Normal1"/>
      <w:pBdr>
        <w:top w:val="nil"/>
        <w:left w:val="nil"/>
        <w:bottom w:val="nil"/>
        <w:right w:val="nil"/>
        <w:between w:val="nil"/>
      </w:pBdr>
      <w:tabs>
        <w:tab w:val="center" w:pos="4513"/>
        <w:tab w:val="right" w:pos="9026"/>
      </w:tabs>
      <w:spacing w:after="0" w:line="240" w:lineRule="auto"/>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Pr>
        <w:sz w:val="20"/>
        <w:szCs w:val="20"/>
      </w:rPr>
      <w:fldChar w:fldCharType="end"/>
    </w:r>
    <w:r>
      <w:rPr>
        <w:sz w:val="20"/>
        <w:szCs w:val="20"/>
      </w:rPr>
      <w:t>111111111</w:t>
    </w:r>
  </w:p>
  <w:p w14:paraId="000000D6" w14:textId="77777777" w:rsidR="00EF457B" w:rsidRDefault="00131398">
    <w:pPr>
      <w:pStyle w:val="Normal1"/>
      <w:tabs>
        <w:tab w:val="left" w:pos="720"/>
        <w:tab w:val="left" w:pos="1440"/>
        <w:tab w:val="left" w:pos="2160"/>
        <w:tab w:val="left" w:pos="2880"/>
        <w:tab w:val="left" w:pos="3600"/>
        <w:tab w:val="left" w:pos="4320"/>
        <w:tab w:val="left" w:pos="4905"/>
      </w:tabs>
      <w:spacing w:after="0" w:line="240" w:lineRule="auto"/>
      <w:jc w:val="both"/>
      <w:rPr>
        <w:sz w:val="20"/>
        <w:szCs w:val="20"/>
      </w:rPr>
    </w:pPr>
    <w:r>
      <w:rPr>
        <w:sz w:val="20"/>
        <w:szCs w:val="20"/>
      </w:rPr>
      <w:t>Model Version: v3.0</w:t>
    </w:r>
    <w:r>
      <w:rPr>
        <w:sz w:val="20"/>
        <w:szCs w:val="20"/>
      </w:rPr>
      <w:tab/>
    </w:r>
    <w:r>
      <w:rPr>
        <w:sz w:val="20"/>
        <w:szCs w:val="20"/>
      </w:rPr>
      <w:tab/>
    </w:r>
    <w:r>
      <w:rPr>
        <w:sz w:val="20"/>
        <w:szCs w:val="20"/>
      </w:rPr>
      <w:tab/>
    </w:r>
    <w:r>
      <w:tab/>
    </w:r>
    <w:r>
      <w:tab/>
    </w:r>
  </w:p>
  <w:p w14:paraId="000000D7" w14:textId="77777777" w:rsidR="00EF457B" w:rsidRDefault="00131398">
    <w:pPr>
      <w:pStyle w:val="Normal1"/>
      <w:tabs>
        <w:tab w:val="center" w:pos="4513"/>
        <w:tab w:val="right" w:pos="9026"/>
      </w:tabs>
      <w:spacing w:after="0"/>
    </w:pPr>
    <w:r>
      <w:t>Framework Ref: RM</w:t>
    </w:r>
    <w:r>
      <w:tab/>
    </w:r>
    <w:r>
      <w:t xml:space="preserve">                                           </w:t>
    </w:r>
  </w:p>
  <w:p w14:paraId="000000D8" w14:textId="77777777" w:rsidR="00EF457B" w:rsidRDefault="00131398">
    <w:pPr>
      <w:pStyle w:val="Normal1"/>
      <w:pBdr>
        <w:top w:val="nil"/>
        <w:left w:val="nil"/>
        <w:bottom w:val="nil"/>
        <w:right w:val="nil"/>
        <w:between w:val="nil"/>
      </w:pBdr>
      <w:tabs>
        <w:tab w:val="center" w:pos="4513"/>
        <w:tab w:val="right" w:pos="9026"/>
      </w:tabs>
      <w:spacing w:after="0" w:line="240" w:lineRule="auto"/>
      <w:rPr>
        <w:sz w:val="20"/>
        <w:szCs w:val="20"/>
      </w:rPr>
    </w:pPr>
    <w:r>
      <w:rPr>
        <w:sz w:val="20"/>
        <w:szCs w:val="20"/>
      </w:rPr>
      <w:t>Project Version: v1.0</w:t>
    </w: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Pr>
        <w:sz w:val="20"/>
        <w:szCs w:val="20"/>
      </w:rPr>
      <w:fldChar w:fldCharType="end"/>
    </w:r>
    <w:r>
      <w:rPr>
        <w:sz w:val="20"/>
        <w:szCs w:val="20"/>
      </w:rPr>
      <w:t>11111111</w:t>
    </w:r>
  </w:p>
  <w:p w14:paraId="000000D9" w14:textId="77777777" w:rsidR="00EF457B" w:rsidRDefault="00131398">
    <w:pPr>
      <w:pStyle w:val="Normal1"/>
      <w:tabs>
        <w:tab w:val="left" w:pos="720"/>
        <w:tab w:val="left" w:pos="1440"/>
        <w:tab w:val="left" w:pos="2160"/>
        <w:tab w:val="left" w:pos="2880"/>
        <w:tab w:val="left" w:pos="3600"/>
        <w:tab w:val="left" w:pos="4320"/>
        <w:tab w:val="left" w:pos="4905"/>
      </w:tabs>
      <w:spacing w:after="0" w:line="240" w:lineRule="auto"/>
      <w:jc w:val="both"/>
      <w:rPr>
        <w:sz w:val="20"/>
        <w:szCs w:val="20"/>
      </w:rPr>
    </w:pPr>
    <w:r>
      <w:rPr>
        <w:sz w:val="20"/>
        <w:szCs w:val="20"/>
      </w:rPr>
      <w:t>Model Version: v3.0</w:t>
    </w:r>
    <w:r>
      <w:rPr>
        <w:sz w:val="20"/>
        <w:szCs w:val="20"/>
      </w:rPr>
      <w:tab/>
    </w:r>
    <w:r>
      <w:rPr>
        <w:sz w:val="20"/>
        <w:szCs w:val="20"/>
      </w:rPr>
      <w:tab/>
    </w:r>
    <w:r>
      <w:rPr>
        <w:sz w:val="20"/>
        <w:szCs w:val="20"/>
      </w:rPr>
      <w:tab/>
    </w:r>
    <w:r>
      <w:tab/>
    </w:r>
    <w:r>
      <w:tab/>
    </w:r>
  </w:p>
  <w:p w14:paraId="000000DA" w14:textId="77777777" w:rsidR="00EF457B" w:rsidRDefault="00131398">
    <w:pPr>
      <w:pStyle w:val="Normal1"/>
      <w:pBdr>
        <w:top w:val="nil"/>
        <w:left w:val="nil"/>
        <w:bottom w:val="nil"/>
        <w:right w:val="nil"/>
        <w:between w:val="nil"/>
      </w:pBdr>
      <w:tabs>
        <w:tab w:val="center" w:pos="4513"/>
        <w:tab w:val="right" w:pos="9026"/>
      </w:tabs>
      <w:spacing w:after="0" w:line="240" w:lineRule="auto"/>
      <w:rPr>
        <w:rFonts w:ascii="Times New Roman" w:eastAsia="Times New Roman" w:hAnsi="Times New Roman" w:cs="Times New Roman"/>
        <w:color w:val="000000"/>
        <w:sz w:val="18"/>
        <w:szCs w:val="18"/>
      </w:rPr>
    </w:pPr>
    <w:bookmarkStart w:id="7" w:name="_heading=h.xr41j3qnst3p" w:colFirst="0" w:colLast="0"/>
    <w:bookmarkEnd w:id="7"/>
    <w:r>
      <w:rPr>
        <w:rFonts w:ascii="Times New Roman" w:eastAsia="Times New Roman" w:hAnsi="Times New Roman" w:cs="Times New Roman"/>
        <w:color w:val="000000"/>
        <w:sz w:val="18"/>
        <w:szCs w:val="18"/>
      </w:rPr>
      <w:t xml:space="preserve">          </w:t>
    </w:r>
    <w:r>
      <w:rPr>
        <w:rFonts w:ascii="Times New Roman" w:eastAsia="Times New Roman" w:hAnsi="Times New Roman" w:cs="Times New Roman"/>
        <w:color w:val="000000"/>
        <w:sz w:val="20"/>
        <w:szCs w:val="20"/>
      </w:rPr>
      <w:t>11</w:t>
    </w:r>
    <w:r>
      <w:rPr>
        <w:rFonts w:ascii="Times New Roman" w:eastAsia="Times New Roman" w:hAnsi="Times New Roman" w:cs="Times New Roman"/>
        <w:color w:val="000000"/>
        <w:sz w:val="18"/>
        <w:szCs w:val="18"/>
      </w:rPr>
      <w:t xml:space="preserve">          </w:t>
    </w:r>
  </w:p>
  <w:bookmarkStart w:id="8" w:name="_heading=h.vijibs7aq27s" w:colFirst="0" w:colLast="0"/>
  <w:bookmarkEnd w:id="8"/>
  <w:p w14:paraId="000000DB" w14:textId="77777777" w:rsidR="00EF457B" w:rsidRDefault="00131398">
    <w:pPr>
      <w:pStyle w:val="Normal1"/>
      <w:pBdr>
        <w:top w:val="nil"/>
        <w:left w:val="nil"/>
        <w:bottom w:val="nil"/>
        <w:right w:val="nil"/>
        <w:between w:val="nil"/>
      </w:pBdr>
      <w:tabs>
        <w:tab w:val="center" w:pos="4513"/>
        <w:tab w:val="right" w:pos="9026"/>
      </w:tabs>
      <w:spacing w:after="0" w:line="240" w:lineRule="auto"/>
      <w:rPr>
        <w:rFonts w:ascii="Times New Roman" w:eastAsia="Times New Roman" w:hAnsi="Times New Roman" w:cs="Times New Roman"/>
        <w:color w:val="000000"/>
        <w:sz w:val="18"/>
        <w:szCs w:val="18"/>
      </w:rPr>
    </w:pPr>
    <w:r>
      <w:fldChar w:fldCharType="begin"/>
    </w:r>
    <w:r>
      <w:instrText xml:space="preserve"> DOCPROPERTY "CUS_DocIDChunk0"</w:instrText>
    </w:r>
    <w:r>
      <w:fldChar w:fldCharType="separate"/>
    </w:r>
    <w:r>
      <w:rPr>
        <w:rFonts w:ascii="Times New Roman" w:eastAsia="Times New Roman" w:hAnsi="Times New Roman" w:cs="Times New Roman"/>
        <w:color w:val="000000"/>
        <w:sz w:val="18"/>
        <w:szCs w:val="18"/>
      </w:rPr>
      <w:t>LEGAL\014611\00057\74113158.v1-6/2/25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A496E" w14:textId="77777777" w:rsidR="00131398" w:rsidRDefault="00131398">
      <w:pPr>
        <w:spacing w:after="0" w:line="240" w:lineRule="auto"/>
      </w:pPr>
      <w:r>
        <w:separator/>
      </w:r>
    </w:p>
  </w:footnote>
  <w:footnote w:type="continuationSeparator" w:id="0">
    <w:p w14:paraId="63343C5F" w14:textId="77777777" w:rsidR="00131398" w:rsidRDefault="001313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A" w14:textId="77777777" w:rsidR="00EF457B" w:rsidRDefault="00EF457B">
    <w:pPr>
      <w:pStyle w:val="Normal1"/>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B" w14:textId="77777777" w:rsidR="00EF457B" w:rsidRDefault="00131398">
    <w:pPr>
      <w:pStyle w:val="Normal1"/>
      <w:pBdr>
        <w:top w:val="nil"/>
        <w:left w:val="nil"/>
        <w:bottom w:val="nil"/>
        <w:right w:val="nil"/>
        <w:between w:val="nil"/>
      </w:pBdr>
      <w:tabs>
        <w:tab w:val="center" w:pos="4513"/>
        <w:tab w:val="right" w:pos="9026"/>
      </w:tabs>
      <w:spacing w:after="0" w:line="240" w:lineRule="auto"/>
      <w:rPr>
        <w:b/>
        <w:bCs/>
        <w:sz w:val="22"/>
        <w:szCs w:val="22"/>
      </w:rPr>
    </w:pPr>
    <w:r>
      <w:rPr>
        <w:b/>
        <w:bCs/>
        <w:sz w:val="22"/>
        <w:szCs w:val="22"/>
      </w:rPr>
      <w:t>Framework Schedule 3 (Framework Prices)</w:t>
    </w:r>
  </w:p>
  <w:p w14:paraId="000000CC" w14:textId="77777777" w:rsidR="00EF457B" w:rsidRDefault="00131398">
    <w:pPr>
      <w:pStyle w:val="Normal1"/>
      <w:pBdr>
        <w:top w:val="nil"/>
        <w:left w:val="nil"/>
        <w:bottom w:val="nil"/>
        <w:right w:val="nil"/>
        <w:between w:val="nil"/>
      </w:pBdr>
      <w:tabs>
        <w:tab w:val="center" w:pos="4513"/>
        <w:tab w:val="right" w:pos="9026"/>
      </w:tabs>
      <w:spacing w:after="0" w:line="240" w:lineRule="auto"/>
      <w:rPr>
        <w:sz w:val="22"/>
        <w:szCs w:val="22"/>
      </w:rPr>
    </w:pPr>
    <w:r>
      <w:rPr>
        <w:sz w:val="22"/>
        <w:szCs w:val="22"/>
      </w:rPr>
      <w:t>Crown Copyright 2025</w:t>
    </w:r>
  </w:p>
  <w:p w14:paraId="000000CD" w14:textId="77777777" w:rsidR="00EF457B" w:rsidRDefault="00EF457B">
    <w:pPr>
      <w:pStyle w:val="Normal1"/>
      <w:pBdr>
        <w:top w:val="nil"/>
        <w:left w:val="nil"/>
        <w:bottom w:val="nil"/>
        <w:right w:val="nil"/>
        <w:between w:val="nil"/>
      </w:pBdr>
      <w:tabs>
        <w:tab w:val="center" w:pos="4513"/>
        <w:tab w:val="right" w:pos="9026"/>
      </w:tabs>
      <w:spacing w:after="0" w:line="240" w:lineRule="auto"/>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E" w14:textId="77777777" w:rsidR="00EF457B" w:rsidRDefault="00131398">
    <w:pPr>
      <w:pStyle w:val="Normal1"/>
      <w:pBdr>
        <w:top w:val="nil"/>
        <w:left w:val="nil"/>
        <w:bottom w:val="nil"/>
        <w:right w:val="nil"/>
        <w:between w:val="nil"/>
      </w:pBdr>
      <w:tabs>
        <w:tab w:val="center" w:pos="4513"/>
        <w:tab w:val="right" w:pos="9026"/>
      </w:tabs>
      <w:spacing w:after="0" w:line="240" w:lineRule="auto"/>
      <w:rPr>
        <w:b/>
        <w:bCs/>
        <w:sz w:val="20"/>
        <w:szCs w:val="20"/>
      </w:rPr>
    </w:pPr>
    <w:r>
      <w:rPr>
        <w:b/>
        <w:bCs/>
        <w:sz w:val="20"/>
        <w:szCs w:val="20"/>
      </w:rPr>
      <w:t xml:space="preserve">Framework Schedule 3 </w:t>
    </w:r>
    <w:r>
      <w:rPr>
        <w:b/>
        <w:bCs/>
        <w:sz w:val="20"/>
        <w:szCs w:val="20"/>
      </w:rPr>
      <w:t>(Framework Prices)</w:t>
    </w:r>
  </w:p>
  <w:p w14:paraId="000000CF" w14:textId="77777777" w:rsidR="00EF457B" w:rsidRDefault="00131398">
    <w:pPr>
      <w:pStyle w:val="Normal1"/>
      <w:pBdr>
        <w:top w:val="nil"/>
        <w:left w:val="nil"/>
        <w:bottom w:val="nil"/>
        <w:right w:val="nil"/>
        <w:between w:val="nil"/>
      </w:pBdr>
      <w:tabs>
        <w:tab w:val="center" w:pos="4513"/>
        <w:tab w:val="right" w:pos="9026"/>
      </w:tabs>
      <w:spacing w:after="0" w:line="240" w:lineRule="auto"/>
      <w:rPr>
        <w:color w:val="BFBFBF"/>
        <w:sz w:val="20"/>
        <w:szCs w:val="20"/>
      </w:rPr>
    </w:pPr>
    <w:r>
      <w:rPr>
        <w:sz w:val="20"/>
        <w:szCs w:val="20"/>
      </w:rPr>
      <w:t>Crown Copyright 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EC4CD6"/>
    <w:multiLevelType w:val="multilevel"/>
    <w:tmpl w:val="00000000"/>
    <w:lvl w:ilvl="0">
      <w:start w:val="1"/>
      <w:numFmt w:val="decimal"/>
      <w:lvlText w:val="%1."/>
      <w:lvlJc w:val="left"/>
      <w:pPr>
        <w:ind w:left="794" w:hanging="794"/>
      </w:pPr>
    </w:lvl>
    <w:lvl w:ilvl="1">
      <w:start w:val="1"/>
      <w:numFmt w:val="decimal"/>
      <w:lvlText w:val="%1.%2"/>
      <w:lvlJc w:val="left"/>
      <w:pPr>
        <w:ind w:left="794" w:hanging="794"/>
      </w:pPr>
    </w:lvl>
    <w:lvl w:ilvl="2">
      <w:start w:val="1"/>
      <w:numFmt w:val="decimal"/>
      <w:lvlText w:val="%1.%2.%3"/>
      <w:lvlJc w:val="left"/>
      <w:pPr>
        <w:ind w:left="1787" w:hanging="794"/>
      </w:pPr>
      <w:rPr>
        <w:b w:val="0"/>
        <w:bCs w:val="0"/>
        <w:sz w:val="24"/>
        <w:szCs w:val="24"/>
      </w:rPr>
    </w:lvl>
    <w:lvl w:ilvl="3">
      <w:start w:val="1"/>
      <w:numFmt w:val="lowerLetter"/>
      <w:lvlText w:val="(%4)"/>
      <w:lvlJc w:val="left"/>
      <w:pPr>
        <w:ind w:left="1588" w:hanging="794"/>
      </w:pPr>
      <w:rPr>
        <w:b w:val="0"/>
        <w:bCs w:val="0"/>
      </w:rPr>
    </w:lvl>
    <w:lvl w:ilvl="4">
      <w:start w:val="1"/>
      <w:numFmt w:val="lowerRoman"/>
      <w:lvlText w:val="(%5)"/>
      <w:lvlJc w:val="left"/>
      <w:pPr>
        <w:ind w:left="2381" w:hanging="793"/>
      </w:pPr>
    </w:lvl>
    <w:lvl w:ilvl="5">
      <w:start w:val="1"/>
      <w:numFmt w:val="upperLetter"/>
      <w:lvlText w:val="(%6)"/>
      <w:lvlJc w:val="left"/>
      <w:pPr>
        <w:ind w:left="3175" w:hanging="794"/>
      </w:pPr>
    </w:lvl>
    <w:lvl w:ilvl="6">
      <w:start w:val="1"/>
      <w:numFmt w:val="decimal"/>
      <w:lvlText w:val="%7"/>
      <w:lvlJc w:val="left"/>
      <w:pPr>
        <w:ind w:left="3175" w:firstLine="0"/>
      </w:pPr>
    </w:lvl>
    <w:lvl w:ilvl="7">
      <w:start w:val="1"/>
      <w:numFmt w:val="decimal"/>
      <w:lvlText w:val="%8"/>
      <w:lvlJc w:val="left"/>
      <w:pPr>
        <w:ind w:left="3175" w:firstLine="0"/>
      </w:pPr>
    </w:lvl>
    <w:lvl w:ilvl="8">
      <w:start w:val="1"/>
      <w:numFmt w:val="decimal"/>
      <w:lvlText w:val="%9"/>
      <w:lvlJc w:val="left"/>
      <w:pPr>
        <w:ind w:left="3175" w:firstLine="0"/>
      </w:pPr>
    </w:lvl>
  </w:abstractNum>
  <w:abstractNum w:abstractNumId="1" w15:restartNumberingAfterBreak="0">
    <w:nsid w:val="4F76533A"/>
    <w:multiLevelType w:val="multilevel"/>
    <w:tmpl w:val="00000000"/>
    <w:lvl w:ilvl="0">
      <w:start w:val="1"/>
      <w:numFmt w:val="decimal"/>
      <w:pStyle w:val="GPsDefinition"/>
      <w:lvlText w:val="%1."/>
      <w:lvlJc w:val="left"/>
      <w:pPr>
        <w:ind w:left="360" w:hanging="360"/>
      </w:pPr>
    </w:lvl>
    <w:lvl w:ilvl="1">
      <w:start w:val="1"/>
      <w:numFmt w:val="decimal"/>
      <w:pStyle w:val="GPSDefinitionL2"/>
      <w:lvlText w:val="%1.%2."/>
      <w:lvlJc w:val="left"/>
      <w:pPr>
        <w:ind w:left="792" w:hanging="432"/>
      </w:pPr>
    </w:lvl>
    <w:lvl w:ilvl="2">
      <w:start w:val="1"/>
      <w:numFmt w:val="decimal"/>
      <w:pStyle w:val="GPSDefinitionL3"/>
      <w:lvlText w:val="%1.%2.%3."/>
      <w:lvlJc w:val="left"/>
      <w:pPr>
        <w:ind w:left="1224" w:hanging="504"/>
      </w:pPr>
    </w:lvl>
    <w:lvl w:ilvl="3">
      <w:start w:val="1"/>
      <w:numFmt w:val="decimal"/>
      <w:pStyle w:val="GPSDefinitionL4"/>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6209A9E2"/>
    <w:multiLevelType w:val="multilevel"/>
    <w:tmpl w:val="00000000"/>
    <w:lvl w:ilvl="0">
      <w:start w:val="1"/>
      <w:numFmt w:val="decimal"/>
      <w:pStyle w:val="GPSL1CLAUSEHEADING"/>
      <w:lvlText w:val="%1."/>
      <w:lvlJc w:val="left"/>
      <w:pPr>
        <w:ind w:left="624" w:hanging="624"/>
      </w:pPr>
      <w:rPr>
        <w:b/>
        <w:bCs/>
        <w:smallCaps w:val="0"/>
        <w:strike w:val="0"/>
        <w:color w:val="000000"/>
        <w:u w:val="none"/>
        <w:vertAlign w:val="baseline"/>
      </w:rPr>
    </w:lvl>
    <w:lvl w:ilvl="1">
      <w:start w:val="1"/>
      <w:numFmt w:val="decimal"/>
      <w:pStyle w:val="GPSL2numberedclause"/>
      <w:lvlText w:val="%1.%2"/>
      <w:lvlJc w:val="left"/>
      <w:pPr>
        <w:ind w:left="644" w:hanging="357"/>
      </w:pPr>
      <w:rPr>
        <w:rFonts w:ascii="Arial" w:eastAsia="Arial" w:hAnsi="Arial" w:cs="Arial"/>
        <w:b w:val="0"/>
        <w:bCs w:val="0"/>
        <w:i w:val="0"/>
        <w:iCs w:val="0"/>
        <w:smallCaps w:val="0"/>
        <w:strike w:val="0"/>
        <w:color w:val="000000"/>
        <w:sz w:val="24"/>
        <w:szCs w:val="24"/>
        <w:u w:val="none"/>
        <w:vertAlign w:val="baseline"/>
      </w:rPr>
    </w:lvl>
    <w:lvl w:ilvl="2">
      <w:start w:val="1"/>
      <w:numFmt w:val="decimal"/>
      <w:pStyle w:val="GPSL3numberedclause"/>
      <w:lvlText w:val="%1.%2.%3"/>
      <w:lvlJc w:val="left"/>
      <w:pPr>
        <w:ind w:left="990" w:hanging="720"/>
      </w:pPr>
      <w:rPr>
        <w:b w:val="0"/>
        <w:bCs w:val="0"/>
        <w:i w:val="0"/>
        <w:iCs w:val="0"/>
        <w:smallCaps w:val="0"/>
        <w:strike w:val="0"/>
        <w:color w:val="000000"/>
        <w:sz w:val="24"/>
        <w:szCs w:val="24"/>
        <w:u w:val="none"/>
        <w:vertAlign w:val="baseline"/>
      </w:rPr>
    </w:lvl>
    <w:lvl w:ilvl="3">
      <w:start w:val="1"/>
      <w:numFmt w:val="lowerLetter"/>
      <w:pStyle w:val="GPSL4numberedclause"/>
      <w:lvlText w:val="(%4)"/>
      <w:lvlJc w:val="left"/>
      <w:pPr>
        <w:ind w:left="3272" w:hanging="720"/>
      </w:pPr>
      <w:rPr>
        <w:rFonts w:ascii="Arial" w:eastAsia="Arial" w:hAnsi="Arial" w:cs="Arial"/>
        <w:b w:val="0"/>
        <w:bCs w:val="0"/>
        <w:i w:val="0"/>
        <w:iCs w:val="0"/>
        <w:smallCaps w:val="0"/>
        <w:strike w:val="0"/>
        <w:color w:val="000000"/>
        <w:u w:val="none"/>
        <w:vertAlign w:val="baseline"/>
      </w:rPr>
    </w:lvl>
    <w:lvl w:ilvl="4">
      <w:start w:val="1"/>
      <w:numFmt w:val="lowerRoman"/>
      <w:pStyle w:val="GPSL5numberedclause"/>
      <w:lvlText w:val="(%5)"/>
      <w:lvlJc w:val="left"/>
      <w:pPr>
        <w:ind w:left="3349" w:hanging="1080"/>
      </w:pPr>
      <w:rPr>
        <w:b w:val="0"/>
        <w:bCs w:val="0"/>
        <w:i w:val="0"/>
        <w:iCs w:val="0"/>
        <w:smallCaps w:val="0"/>
        <w:strike w:val="0"/>
        <w:color w:val="000000"/>
        <w:u w:val="none"/>
        <w:vertAlign w:val="baseline"/>
      </w:rPr>
    </w:lvl>
    <w:lvl w:ilvl="5">
      <w:start w:val="1"/>
      <w:numFmt w:val="upperLetter"/>
      <w:pStyle w:val="GPSL6numbered"/>
      <w:lvlText w:val="(%6)"/>
      <w:lvlJc w:val="left"/>
      <w:pPr>
        <w:ind w:left="1440" w:hanging="1080"/>
      </w:pPr>
      <w:rPr>
        <w:b w:val="0"/>
        <w:bCs w:val="0"/>
        <w:i w:val="0"/>
        <w:iCs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6209A9E3"/>
    <w:multiLevelType w:val="hybridMultilevel"/>
    <w:tmpl w:val="6209A9E3"/>
    <w:lvl w:ilvl="0" w:tplc="9F96E76E">
      <w:start w:val="1"/>
      <w:numFmt w:val="decimal"/>
      <w:pStyle w:val="StyleHeading5ServiceConformance4HeadingHeading5unusedLev"/>
      <w:lvlText w:val="%1."/>
      <w:lvlJc w:val="left"/>
      <w:pPr>
        <w:tabs>
          <w:tab w:val="num" w:pos="720"/>
        </w:tabs>
        <w:ind w:left="720" w:hanging="720"/>
      </w:pPr>
    </w:lvl>
    <w:lvl w:ilvl="1" w:tplc="E29C0E0A">
      <w:start w:val="1"/>
      <w:numFmt w:val="decimal"/>
      <w:lvlText w:val="%2."/>
      <w:lvlJc w:val="left"/>
      <w:pPr>
        <w:tabs>
          <w:tab w:val="num" w:pos="1440"/>
        </w:tabs>
        <w:ind w:left="1440" w:hanging="720"/>
      </w:pPr>
    </w:lvl>
    <w:lvl w:ilvl="2" w:tplc="0B6A2AAC">
      <w:start w:val="1"/>
      <w:numFmt w:val="decimal"/>
      <w:lvlText w:val="%3."/>
      <w:lvlJc w:val="left"/>
      <w:pPr>
        <w:tabs>
          <w:tab w:val="num" w:pos="2160"/>
        </w:tabs>
        <w:ind w:left="2160" w:hanging="720"/>
      </w:pPr>
    </w:lvl>
    <w:lvl w:ilvl="3" w:tplc="92AC7358">
      <w:start w:val="1"/>
      <w:numFmt w:val="decimal"/>
      <w:lvlText w:val="%4."/>
      <w:lvlJc w:val="left"/>
      <w:pPr>
        <w:tabs>
          <w:tab w:val="num" w:pos="2880"/>
        </w:tabs>
        <w:ind w:left="2880" w:hanging="720"/>
      </w:pPr>
    </w:lvl>
    <w:lvl w:ilvl="4" w:tplc="55A05D88">
      <w:start w:val="1"/>
      <w:numFmt w:val="decimal"/>
      <w:lvlText w:val="%5."/>
      <w:lvlJc w:val="left"/>
      <w:pPr>
        <w:tabs>
          <w:tab w:val="num" w:pos="3600"/>
        </w:tabs>
        <w:ind w:left="3600" w:hanging="720"/>
      </w:pPr>
    </w:lvl>
    <w:lvl w:ilvl="5" w:tplc="C0C01DC8">
      <w:start w:val="1"/>
      <w:numFmt w:val="decimal"/>
      <w:lvlText w:val="%6."/>
      <w:lvlJc w:val="left"/>
      <w:pPr>
        <w:tabs>
          <w:tab w:val="num" w:pos="4320"/>
        </w:tabs>
        <w:ind w:left="4320" w:hanging="720"/>
      </w:pPr>
    </w:lvl>
    <w:lvl w:ilvl="6" w:tplc="E7961350">
      <w:start w:val="1"/>
      <w:numFmt w:val="decimal"/>
      <w:lvlText w:val="%7."/>
      <w:lvlJc w:val="left"/>
      <w:pPr>
        <w:tabs>
          <w:tab w:val="num" w:pos="5040"/>
        </w:tabs>
        <w:ind w:left="5040" w:hanging="720"/>
      </w:pPr>
    </w:lvl>
    <w:lvl w:ilvl="7" w:tplc="5D644DD0">
      <w:start w:val="1"/>
      <w:numFmt w:val="decimal"/>
      <w:lvlText w:val="%8."/>
      <w:lvlJc w:val="left"/>
      <w:pPr>
        <w:tabs>
          <w:tab w:val="num" w:pos="5760"/>
        </w:tabs>
        <w:ind w:left="5760" w:hanging="720"/>
      </w:pPr>
    </w:lvl>
    <w:lvl w:ilvl="8" w:tplc="8662C450">
      <w:start w:val="1"/>
      <w:numFmt w:val="decimal"/>
      <w:lvlText w:val="%9."/>
      <w:lvlJc w:val="left"/>
      <w:pPr>
        <w:tabs>
          <w:tab w:val="num" w:pos="6480"/>
        </w:tabs>
        <w:ind w:left="6480" w:hanging="72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57B"/>
    <w:rsid w:val="00131398"/>
    <w:rsid w:val="002D6E90"/>
    <w:rsid w:val="00EF4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D524F1"/>
  <w15:docId w15:val="{B3DCE68F-BFDD-4C56-B58C-9C77A984B6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77B5"/>
  </w:style>
  <w:style w:type="paragraph" w:styleId="Heading1">
    <w:name w:val="heading 1"/>
    <w:basedOn w:val="Normal1"/>
    <w:next w:val="Normal1"/>
    <w:pPr>
      <w:keepNext/>
      <w:keepLines/>
      <w:spacing w:before="480" w:after="120"/>
      <w:outlineLvl w:val="0"/>
    </w:pPr>
    <w:rPr>
      <w:b/>
      <w:bCs/>
      <w:sz w:val="48"/>
      <w:szCs w:val="48"/>
    </w:rPr>
  </w:style>
  <w:style w:type="paragraph" w:styleId="Heading2">
    <w:name w:val="heading 2"/>
    <w:basedOn w:val="Normal1"/>
    <w:next w:val="Normal1"/>
    <w:pPr>
      <w:keepNext/>
      <w:keepLines/>
      <w:spacing w:before="360" w:after="80"/>
      <w:outlineLvl w:val="1"/>
    </w:pPr>
    <w:rPr>
      <w:b/>
      <w:bCs/>
      <w:sz w:val="36"/>
      <w:szCs w:val="36"/>
    </w:rPr>
  </w:style>
  <w:style w:type="paragraph" w:styleId="Heading3">
    <w:name w:val="heading 3"/>
    <w:basedOn w:val="Normal1"/>
    <w:next w:val="Normal1"/>
    <w:pPr>
      <w:keepNext/>
      <w:keepLines/>
      <w:spacing w:before="280" w:after="80"/>
      <w:outlineLvl w:val="2"/>
    </w:pPr>
    <w:rPr>
      <w:b/>
      <w:bCs/>
      <w:sz w:val="28"/>
      <w:szCs w:val="28"/>
    </w:rPr>
  </w:style>
  <w:style w:type="paragraph" w:styleId="Heading4">
    <w:name w:val="heading 4"/>
    <w:basedOn w:val="Normal1"/>
    <w:next w:val="Normal1"/>
    <w:pPr>
      <w:keepNext/>
      <w:keepLines/>
      <w:spacing w:before="240" w:after="40"/>
      <w:outlineLvl w:val="3"/>
    </w:pPr>
    <w:rPr>
      <w:b/>
      <w:bCs/>
    </w:rPr>
  </w:style>
  <w:style w:type="paragraph" w:styleId="Heading5">
    <w:name w:val="heading 5"/>
    <w:basedOn w:val="Normal1"/>
    <w:next w:val="Normal1"/>
    <w:pPr>
      <w:keepNext/>
      <w:keepLines/>
      <w:spacing w:before="220" w:after="40"/>
      <w:outlineLvl w:val="4"/>
    </w:pPr>
    <w:rPr>
      <w:b/>
      <w:bCs/>
    </w:rPr>
  </w:style>
  <w:style w:type="paragraph" w:styleId="Heading6">
    <w:name w:val="heading 6"/>
    <w:basedOn w:val="Normal1"/>
    <w:next w:val="Normal1"/>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customStyle="1" w:styleId="Normal1">
    <w:name w:val="Normal1"/>
  </w:style>
  <w:style w:type="paragraph" w:styleId="Title">
    <w:name w:val="Title"/>
    <w:basedOn w:val="Normal1"/>
    <w:next w:val="Normal1"/>
    <w:pPr>
      <w:keepNext/>
      <w:keepLines/>
      <w:spacing w:before="480" w:after="120"/>
    </w:pPr>
    <w:rPr>
      <w:b/>
      <w:bCs/>
      <w:sz w:val="72"/>
      <w:szCs w:val="72"/>
    </w:rPr>
  </w:style>
  <w:style w:type="paragraph" w:styleId="Header">
    <w:name w:val="header"/>
    <w:basedOn w:val="Normal1"/>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character" w:styleId="Emphasis">
    <w:name w:val="Emphasis"/>
    <w:basedOn w:val="DefaultParagraphFont"/>
    <w:rPr>
      <w:i/>
      <w:iCs/>
    </w:rPr>
  </w:style>
  <w:style w:type="paragraph" w:styleId="Footer">
    <w:name w:val="footer"/>
    <w:basedOn w:val="Normal1"/>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GPSL1CLAUSEHEADING">
    <w:name w:val="GPS L1 CLAUSE HEADING"/>
    <w:basedOn w:val="Normal1"/>
    <w:next w:val="Normal1"/>
    <w:qFormat/>
    <w:pPr>
      <w:numPr>
        <w:numId w:val="1"/>
      </w:numPr>
      <w:tabs>
        <w:tab w:val="left" w:pos="0"/>
      </w:tabs>
      <w:adjustRightInd w:val="0"/>
      <w:spacing w:before="240" w:after="240" w:line="240" w:lineRule="auto"/>
      <w:jc w:val="both"/>
      <w:outlineLvl w:val="1"/>
    </w:pPr>
    <w:rPr>
      <w:rFonts w:ascii="Arial Bold" w:eastAsia="STZhongsong" w:hAnsi="Arial Bold"/>
      <w:b/>
      <w:caps/>
      <w:lang w:eastAsia="zh-CN"/>
    </w:rPr>
  </w:style>
  <w:style w:type="paragraph" w:customStyle="1" w:styleId="GPSL2numberedclause">
    <w:name w:val="GPS L2 numbered clause"/>
    <w:basedOn w:val="Normal1"/>
    <w:link w:val="GPSL2numberedclauseChar1"/>
    <w:qFormat/>
    <w:pPr>
      <w:numPr>
        <w:ilvl w:val="1"/>
        <w:numId w:val="1"/>
      </w:numPr>
      <w:tabs>
        <w:tab w:val="left" w:pos="1134"/>
      </w:tabs>
      <w:adjustRightInd w:val="0"/>
      <w:spacing w:before="120" w:after="120" w:line="240" w:lineRule="auto"/>
      <w:jc w:val="both"/>
    </w:pPr>
    <w:rPr>
      <w:rFonts w:eastAsia="Times New Roman"/>
      <w:lang w:eastAsia="zh-CN"/>
    </w:rPr>
  </w:style>
  <w:style w:type="paragraph" w:customStyle="1" w:styleId="GPSL3numberedclause">
    <w:name w:val="GPS L3 numbered clause"/>
    <w:basedOn w:val="GPSL2numberedclause"/>
    <w:link w:val="GPSL3numberedclauseChar"/>
    <w:qFormat/>
    <w:pPr>
      <w:numPr>
        <w:ilvl w:val="2"/>
      </w:numPr>
      <w:tabs>
        <w:tab w:val="clear" w:pos="1134"/>
        <w:tab w:val="left" w:pos="1985"/>
        <w:tab w:val="left" w:pos="2127"/>
      </w:tabs>
    </w:pPr>
  </w:style>
  <w:style w:type="paragraph" w:customStyle="1" w:styleId="GPSL4numberedclause">
    <w:name w:val="GPS L4 numbered clause"/>
    <w:basedOn w:val="GPSL3numberedclause"/>
    <w:link w:val="GPSL4numberedclauseChar"/>
    <w:qFormat/>
    <w:pPr>
      <w:numPr>
        <w:ilvl w:val="3"/>
      </w:numPr>
      <w:tabs>
        <w:tab w:val="clear" w:pos="1985"/>
        <w:tab w:val="clear" w:pos="2127"/>
      </w:tabs>
    </w:pPr>
    <w:rPr>
      <w:szCs w:val="20"/>
    </w:rPr>
  </w:style>
  <w:style w:type="character" w:customStyle="1" w:styleId="GPSL2numberedclauseChar1">
    <w:name w:val="GPS L2 numbered clause Char1"/>
    <w:link w:val="GPSL2numberedclause"/>
    <w:rPr>
      <w:rFonts w:ascii="Calibri" w:eastAsia="Times New Roman" w:hAnsi="Calibri" w:cs="Arial"/>
      <w:lang w:eastAsia="zh-CN"/>
    </w:rPr>
  </w:style>
  <w:style w:type="character" w:customStyle="1" w:styleId="GPSL3numberedclauseChar">
    <w:name w:val="GPS L3 numbered clause Char"/>
    <w:link w:val="GPSL3numberedclause"/>
    <w:rPr>
      <w:rFonts w:ascii="Calibri" w:eastAsia="Times New Roman" w:hAnsi="Calibri" w:cs="Arial"/>
      <w:lang w:eastAsia="zh-CN"/>
    </w:rPr>
  </w:style>
  <w:style w:type="character" w:customStyle="1" w:styleId="GPSL4numberedclauseChar">
    <w:name w:val="GPS L4 numbered clause Char"/>
    <w:link w:val="GPSL4numberedclause"/>
    <w:rPr>
      <w:rFonts w:ascii="Calibri" w:eastAsia="Times New Roman" w:hAnsi="Calibri" w:cs="Arial"/>
      <w:szCs w:val="20"/>
      <w:lang w:eastAsia="zh-CN"/>
    </w:rPr>
  </w:style>
  <w:style w:type="paragraph" w:customStyle="1" w:styleId="GPSL5numberedclause">
    <w:name w:val="GPS L5 numbered clause"/>
    <w:basedOn w:val="GPSL4numberedclause"/>
    <w:qFormat/>
    <w:pPr>
      <w:numPr>
        <w:ilvl w:val="4"/>
      </w:numPr>
      <w:tabs>
        <w:tab w:val="num" w:pos="360"/>
        <w:tab w:val="left" w:pos="3402"/>
      </w:tabs>
    </w:pPr>
  </w:style>
  <w:style w:type="paragraph" w:customStyle="1" w:styleId="GPSL2Indent">
    <w:name w:val="GPS L2 Indent"/>
    <w:basedOn w:val="GPSL2numberedclause"/>
    <w:link w:val="GPSL2IndentChar"/>
    <w:qFormat/>
    <w:pPr>
      <w:numPr>
        <w:ilvl w:val="0"/>
        <w:numId w:val="0"/>
      </w:numPr>
      <w:tabs>
        <w:tab w:val="clear" w:pos="1134"/>
        <w:tab w:val="left" w:pos="709"/>
        <w:tab w:val="left" w:pos="2127"/>
      </w:tabs>
      <w:ind w:left="709"/>
    </w:pPr>
  </w:style>
  <w:style w:type="paragraph" w:customStyle="1" w:styleId="GPSL6numbered">
    <w:name w:val="GPS L6 numbered"/>
    <w:basedOn w:val="GPSL5numberedclause"/>
    <w:qFormat/>
    <w:pPr>
      <w:numPr>
        <w:ilvl w:val="5"/>
      </w:numPr>
      <w:tabs>
        <w:tab w:val="num" w:pos="360"/>
        <w:tab w:val="left" w:pos="4253"/>
      </w:tabs>
    </w:pPr>
  </w:style>
  <w:style w:type="character" w:customStyle="1" w:styleId="GPSL2IndentChar">
    <w:name w:val="GPS L2 Indent Char"/>
    <w:link w:val="GPSL2Indent"/>
    <w:rPr>
      <w:rFonts w:ascii="Calibri" w:eastAsia="Times New Roman" w:hAnsi="Calibri" w:cs="Arial"/>
      <w:lang w:eastAsia="zh-CN"/>
    </w:rPr>
  </w:style>
  <w:style w:type="paragraph" w:customStyle="1" w:styleId="GPSDefinitionTerm">
    <w:name w:val="GPS Definition Term"/>
    <w:basedOn w:val="Normal1"/>
    <w:qFormat/>
    <w:pPr>
      <w:overflowPunct w:val="0"/>
      <w:autoSpaceDE w:val="0"/>
      <w:autoSpaceDN w:val="0"/>
      <w:adjustRightInd w:val="0"/>
      <w:spacing w:after="120" w:line="240" w:lineRule="auto"/>
      <w:ind w:left="-108"/>
      <w:textAlignment w:val="baseline"/>
    </w:pPr>
    <w:rPr>
      <w:rFonts w:eastAsia="Times New Roman"/>
      <w:b/>
    </w:rPr>
  </w:style>
  <w:style w:type="paragraph" w:customStyle="1" w:styleId="GPsDefinition">
    <w:name w:val="GPs Definition"/>
    <w:basedOn w:val="Normal1"/>
    <w:qFormat/>
    <w:pPr>
      <w:numPr>
        <w:numId w:val="2"/>
      </w:numPr>
      <w:tabs>
        <w:tab w:val="left" w:pos="-9"/>
      </w:tabs>
      <w:overflowPunct w:val="0"/>
      <w:autoSpaceDE w:val="0"/>
      <w:autoSpaceDN w:val="0"/>
      <w:adjustRightInd w:val="0"/>
      <w:spacing w:after="120" w:line="240" w:lineRule="auto"/>
      <w:jc w:val="both"/>
      <w:textAlignment w:val="baseline"/>
    </w:pPr>
    <w:rPr>
      <w:rFonts w:eastAsia="Times New Roman"/>
    </w:rPr>
  </w:style>
  <w:style w:type="paragraph" w:customStyle="1" w:styleId="GPSDefinitionL2">
    <w:name w:val="GPS Definition L2"/>
    <w:basedOn w:val="GPsDefinition"/>
    <w:link w:val="GPSDefinitionL2Char"/>
    <w:qFormat/>
    <w:pPr>
      <w:numPr>
        <w:ilvl w:val="1"/>
      </w:numPr>
      <w:tabs>
        <w:tab w:val="clear" w:pos="-9"/>
        <w:tab w:val="left" w:pos="144"/>
      </w:tabs>
      <w:ind w:hanging="545"/>
    </w:pPr>
  </w:style>
  <w:style w:type="character" w:customStyle="1" w:styleId="GPSDefinitionL2Char">
    <w:name w:val="GPS Definition L2 Char"/>
    <w:link w:val="GPSDefinitionL2"/>
    <w:rPr>
      <w:rFonts w:ascii="Arial" w:eastAsia="Times New Roman" w:hAnsi="Arial" w:cs="Arial"/>
    </w:rPr>
  </w:style>
  <w:style w:type="paragraph" w:customStyle="1" w:styleId="GPSDefinitionL3">
    <w:name w:val="GPS Definition L3"/>
    <w:basedOn w:val="GPSDefinitionL2"/>
    <w:qFormat/>
    <w:pPr>
      <w:numPr>
        <w:ilvl w:val="2"/>
      </w:numPr>
      <w:tabs>
        <w:tab w:val="num" w:pos="360"/>
      </w:tabs>
    </w:pPr>
  </w:style>
  <w:style w:type="paragraph" w:customStyle="1" w:styleId="GPSDefinitionL4">
    <w:name w:val="GPS Definition L4"/>
    <w:basedOn w:val="GPSDefinitionL3"/>
    <w:qFormat/>
    <w:pPr>
      <w:numPr>
        <w:ilvl w:val="3"/>
      </w:numPr>
      <w:tabs>
        <w:tab w:val="num" w:pos="360"/>
        <w:tab w:val="num" w:pos="2160"/>
      </w:tabs>
    </w:pPr>
  </w:style>
  <w:style w:type="paragraph" w:customStyle="1" w:styleId="GPSL2Guidance">
    <w:name w:val="GPS L2 Guidance"/>
    <w:basedOn w:val="GPSL2numberedclause"/>
    <w:link w:val="GPSL2GuidanceChar"/>
    <w:qFormat/>
    <w:pPr>
      <w:numPr>
        <w:ilvl w:val="0"/>
        <w:numId w:val="0"/>
      </w:numPr>
      <w:ind w:left="1134"/>
    </w:pPr>
    <w:rPr>
      <w:b/>
      <w:i/>
    </w:rPr>
  </w:style>
  <w:style w:type="character" w:customStyle="1" w:styleId="GPSL2GuidanceChar">
    <w:name w:val="GPS L2 Guidance Char"/>
    <w:link w:val="GPSL2Guidance"/>
    <w:rPr>
      <w:rFonts w:ascii="Calibri" w:eastAsia="Times New Roman" w:hAnsi="Calibri" w:cs="Arial"/>
      <w:b/>
      <w:i/>
      <w:lang w:eastAsia="zh-CN"/>
    </w:rPr>
  </w:style>
  <w:style w:type="paragraph" w:customStyle="1" w:styleId="GPSL1SCHEDULEHeading">
    <w:name w:val="GPS L1 SCHEDULE Heading"/>
    <w:basedOn w:val="GPSL1CLAUSEHEADING"/>
    <w:link w:val="GPSL1SCHEDULEHeadingChar"/>
    <w:autoRedefine/>
    <w:rsid w:val="003C776E"/>
    <w:pPr>
      <w:tabs>
        <w:tab w:val="clear" w:pos="0"/>
        <w:tab w:val="left" w:pos="142"/>
      </w:tabs>
      <w:spacing w:before="120"/>
      <w:ind w:left="360"/>
      <w:outlineLvl w:val="9"/>
    </w:pPr>
    <w:rPr>
      <w:rFonts w:ascii="Arial" w:hAnsi="Arial"/>
      <w:caps w:val="0"/>
    </w:rPr>
  </w:style>
  <w:style w:type="character" w:customStyle="1" w:styleId="GPSL1SCHEDULEHeadingChar">
    <w:name w:val="GPS L1 SCHEDULE Heading Char"/>
    <w:link w:val="GPSL1SCHEDULEHeading"/>
    <w:rsid w:val="003C776E"/>
    <w:rPr>
      <w:rFonts w:ascii="Arial" w:eastAsia="STZhongsong" w:hAnsi="Arial" w:cs="Arial"/>
      <w:b/>
      <w:sz w:val="24"/>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1"/>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BalloonText">
    <w:name w:val="Balloon Text"/>
    <w:basedOn w:val="Normal1"/>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PSSchAnnexname">
    <w:name w:val="GPS Sch Annex name"/>
    <w:basedOn w:val="Normal1"/>
    <w:link w:val="GPSSchAnnexnameChar"/>
    <w:qFormat/>
    <w:pPr>
      <w:keepNext/>
      <w:adjustRightInd w:val="0"/>
      <w:spacing w:after="240" w:line="240" w:lineRule="auto"/>
      <w:jc w:val="center"/>
      <w:outlineLvl w:val="1"/>
    </w:pPr>
    <w:rPr>
      <w:rFonts w:eastAsia="STZhongsong" w:cs="Times New Roman"/>
      <w:b/>
      <w:caps/>
      <w:sz w:val="20"/>
      <w:lang w:eastAsia="zh-CN"/>
    </w:rPr>
  </w:style>
  <w:style w:type="character" w:customStyle="1" w:styleId="GPSSchAnnexnameChar">
    <w:name w:val="GPS Sch Annex name Char"/>
    <w:link w:val="GPSSchAnnexname"/>
    <w:rPr>
      <w:rFonts w:ascii="Calibri" w:eastAsia="STZhongsong" w:hAnsi="Calibri" w:cs="Times New Roman"/>
      <w:b/>
      <w:caps/>
      <w:sz w:val="20"/>
      <w:lang w:eastAsia="zh-CN"/>
    </w:rPr>
  </w:style>
  <w:style w:type="character" w:customStyle="1" w:styleId="Heading6Char5">
    <w:name w:val="Heading 6 Char5"/>
    <w:aliases w:val="Bullet list Char5,H6 Char5,H6 DO NOT USE Char5,H61 Char5,Heading 6  Appendix Y &amp; Z Char5,Heading 6 (Do Not Use) Char5,Heading 6(unused) Char5,L1 PIP Char5,Legal Level 1. Char5,Lev 6 Char5,PA Appendix Char5,PR14 Char5,bullet2 Char5,h6 Ch4"/>
    <w:uiPriority w:val="99"/>
    <w:semiHidden/>
    <w:locked/>
    <w:rPr>
      <w:rFonts w:ascii="Calibri" w:hAnsi="Calibri"/>
      <w:b/>
      <w:lang w:val="x-none" w:eastAsia="en-GB"/>
    </w:rPr>
  </w:style>
  <w:style w:type="paragraph" w:customStyle="1" w:styleId="MarginText">
    <w:name w:val="Margin Text"/>
    <w:basedOn w:val="Normal1"/>
    <w:link w:val="MarginTextChar"/>
    <w:pPr>
      <w:keepNext/>
      <w:adjustRightInd w:val="0"/>
      <w:spacing w:before="240" w:after="120" w:line="240" w:lineRule="auto"/>
      <w:ind w:left="142"/>
      <w:jc w:val="both"/>
    </w:pPr>
    <w:rPr>
      <w:rFonts w:eastAsia="STZhongsong" w:cs="Times New Roman"/>
      <w:szCs w:val="18"/>
      <w:lang w:eastAsia="zh-CN"/>
    </w:rPr>
  </w:style>
  <w:style w:type="character" w:customStyle="1" w:styleId="MarginTextChar">
    <w:name w:val="Margin Text Char"/>
    <w:link w:val="MarginText"/>
    <w:locked/>
    <w:rPr>
      <w:rFonts w:ascii="Calibri" w:eastAsia="STZhongsong" w:hAnsi="Calibri" w:cs="Times New Roman"/>
      <w:szCs w:val="18"/>
      <w:lang w:eastAsia="zh-CN"/>
    </w:rPr>
  </w:style>
  <w:style w:type="paragraph" w:customStyle="1" w:styleId="GPSL2NumberedBoldHeading">
    <w:name w:val="GPS L2 Numbered Bold Heading"/>
    <w:basedOn w:val="Normal1"/>
    <w:link w:val="GPSL2NumberedBoldHeadingChar"/>
    <w:qFormat/>
    <w:pPr>
      <w:tabs>
        <w:tab w:val="left" w:pos="1134"/>
      </w:tabs>
      <w:adjustRightInd w:val="0"/>
      <w:spacing w:before="120" w:after="120" w:line="240" w:lineRule="auto"/>
      <w:ind w:left="644" w:hanging="218"/>
      <w:jc w:val="both"/>
    </w:pPr>
    <w:rPr>
      <w:rFonts w:eastAsia="Times New Roman"/>
      <w:b/>
      <w:lang w:eastAsia="zh-CN"/>
    </w:rPr>
  </w:style>
  <w:style w:type="paragraph" w:customStyle="1" w:styleId="GPSL1Guidance">
    <w:name w:val="GPS L1 Guidance"/>
    <w:basedOn w:val="Normal1"/>
    <w:link w:val="GPSL1GuidanceChar"/>
    <w:qFormat/>
    <w:pPr>
      <w:overflowPunct w:val="0"/>
      <w:autoSpaceDE w:val="0"/>
      <w:autoSpaceDN w:val="0"/>
      <w:adjustRightInd w:val="0"/>
      <w:spacing w:before="240" w:after="120" w:line="240" w:lineRule="auto"/>
      <w:ind w:left="426"/>
      <w:jc w:val="both"/>
      <w:textAlignment w:val="baseline"/>
    </w:pPr>
    <w:rPr>
      <w:rFonts w:eastAsia="Times New Roman"/>
      <w:b/>
      <w:i/>
    </w:rPr>
  </w:style>
  <w:style w:type="paragraph" w:customStyle="1" w:styleId="GPSL2GuidanceNumbered">
    <w:name w:val="GPS L2 Guidance Numbered"/>
    <w:basedOn w:val="Normal1"/>
    <w:link w:val="GPSL2GuidanceNumberedChar"/>
    <w:qFormat/>
    <w:pPr>
      <w:tabs>
        <w:tab w:val="num" w:pos="720"/>
        <w:tab w:val="left" w:pos="1418"/>
      </w:tabs>
      <w:adjustRightInd w:val="0"/>
      <w:spacing w:before="120" w:after="120" w:line="240" w:lineRule="auto"/>
      <w:ind w:left="720" w:hanging="720"/>
      <w:jc w:val="both"/>
    </w:pPr>
    <w:rPr>
      <w:rFonts w:eastAsia="Times New Roman"/>
      <w:b/>
      <w:i/>
      <w:lang w:eastAsia="zh-CN"/>
    </w:rPr>
  </w:style>
  <w:style w:type="paragraph" w:customStyle="1" w:styleId="GPSL3Guidance">
    <w:name w:val="GPS L3 Guidance"/>
    <w:basedOn w:val="GPSL3numberedclause"/>
    <w:link w:val="GPSL3GuidanceChar"/>
    <w:qFormat/>
    <w:pPr>
      <w:numPr>
        <w:ilvl w:val="0"/>
        <w:numId w:val="0"/>
      </w:numPr>
      <w:tabs>
        <w:tab w:val="clear" w:pos="2127"/>
      </w:tabs>
      <w:ind w:left="1985"/>
    </w:pPr>
    <w:rPr>
      <w:b/>
      <w:i/>
    </w:rPr>
  </w:style>
  <w:style w:type="paragraph" w:customStyle="1" w:styleId="GPSmacrorestart">
    <w:name w:val="GPS macro restart"/>
    <w:basedOn w:val="Normal1"/>
    <w:qFormat/>
    <w:pPr>
      <w:overflowPunct w:val="0"/>
      <w:autoSpaceDE w:val="0"/>
      <w:autoSpaceDN w:val="0"/>
      <w:adjustRightInd w:val="0"/>
      <w:spacing w:after="0" w:line="240" w:lineRule="auto"/>
      <w:jc w:val="both"/>
      <w:textAlignment w:val="baseline"/>
    </w:pPr>
    <w:rPr>
      <w:rFonts w:eastAsia="Times New Roman"/>
      <w:color w:val="FFFFFF"/>
      <w:sz w:val="16"/>
      <w:szCs w:val="16"/>
    </w:rPr>
  </w:style>
  <w:style w:type="paragraph" w:customStyle="1" w:styleId="GPSSchPart">
    <w:name w:val="GPS Sch Part"/>
    <w:basedOn w:val="GPSSchAnnexname"/>
    <w:link w:val="GPSSchPartChar"/>
    <w:qFormat/>
    <w:pPr>
      <w:spacing w:before="240"/>
      <w:ind w:firstLine="426"/>
      <w:outlineLvl w:val="9"/>
    </w:pPr>
    <w:rPr>
      <w:rFonts w:ascii="Arial Bold" w:hAnsi="Arial Bold"/>
      <w:sz w:val="22"/>
    </w:rPr>
  </w:style>
  <w:style w:type="paragraph" w:customStyle="1" w:styleId="GPSL2Numbered">
    <w:name w:val="GPS L2 Numbered"/>
    <w:basedOn w:val="GPSL2NumberedBoldHeading"/>
    <w:link w:val="GPSL2NumberedChar"/>
    <w:qFormat/>
    <w:pPr>
      <w:tabs>
        <w:tab w:val="left" w:pos="709"/>
      </w:tabs>
      <w:ind w:left="936" w:hanging="576"/>
    </w:pPr>
    <w:rPr>
      <w:b w:val="0"/>
    </w:rPr>
  </w:style>
  <w:style w:type="character" w:customStyle="1" w:styleId="GPSL2NumberedChar">
    <w:name w:val="GPS L2 Numbered Char"/>
    <w:link w:val="GPSL2Numbered"/>
    <w:locked/>
    <w:rPr>
      <w:rFonts w:ascii="Calibri" w:eastAsia="Times New Roman" w:hAnsi="Calibri" w:cs="Arial"/>
      <w:lang w:eastAsia="zh-CN"/>
    </w:rPr>
  </w:style>
  <w:style w:type="paragraph" w:customStyle="1" w:styleId="GPSL4Guidance">
    <w:name w:val="GPS L4 Guidance"/>
    <w:basedOn w:val="GPSL3Guidance"/>
    <w:link w:val="GPSL4GuidanceChar"/>
    <w:qFormat/>
  </w:style>
  <w:style w:type="character" w:customStyle="1" w:styleId="GPSL4GuidanceChar">
    <w:name w:val="GPS L4 Guidance Char"/>
    <w:link w:val="GPSL4Guidance"/>
    <w:locked/>
    <w:rPr>
      <w:rFonts w:ascii="Calibri" w:eastAsia="Times New Roman" w:hAnsi="Calibri" w:cs="Arial"/>
      <w:b/>
      <w:i/>
      <w:lang w:eastAsia="zh-CN"/>
    </w:rPr>
  </w:style>
  <w:style w:type="character" w:customStyle="1" w:styleId="GPSL1GuidanceChar">
    <w:name w:val="GPS L1 Guidance Char"/>
    <w:link w:val="GPSL1Guidance"/>
    <w:locked/>
    <w:rPr>
      <w:rFonts w:ascii="Calibri" w:eastAsia="Times New Roman" w:hAnsi="Calibri" w:cs="Arial"/>
      <w:b/>
      <w:i/>
    </w:rPr>
  </w:style>
  <w:style w:type="character" w:customStyle="1" w:styleId="GPSL2GuidanceNumberedChar">
    <w:name w:val="GPS L2 Guidance Numbered Char"/>
    <w:link w:val="GPSL2GuidanceNumbered"/>
    <w:rPr>
      <w:rFonts w:eastAsia="Times New Roman" w:cs="Arial"/>
      <w:b/>
      <w:i/>
      <w:lang w:eastAsia="zh-CN"/>
    </w:rPr>
  </w:style>
  <w:style w:type="character" w:customStyle="1" w:styleId="GPSL3GuidanceChar">
    <w:name w:val="GPS L3 Guidance Char"/>
    <w:link w:val="GPSL3Guidance"/>
    <w:rPr>
      <w:rFonts w:ascii="Calibri" w:eastAsia="Times New Roman" w:hAnsi="Calibri" w:cs="Arial"/>
      <w:b/>
      <w:i/>
      <w:lang w:eastAsia="zh-CN"/>
    </w:rPr>
  </w:style>
  <w:style w:type="character" w:customStyle="1" w:styleId="GPSSchPartChar">
    <w:name w:val="GPS Sch Part Char"/>
    <w:link w:val="GPSSchPart"/>
    <w:rPr>
      <w:rFonts w:ascii="Arial Bold" w:eastAsia="STZhongsong" w:hAnsi="Arial Bold" w:cs="Times New Roman"/>
      <w:b/>
      <w:caps/>
      <w:lang w:eastAsia="zh-CN"/>
    </w:rPr>
  </w:style>
  <w:style w:type="character" w:styleId="Hyperlink">
    <w:name w:val="Hyperlink"/>
    <w:basedOn w:val="DefaultParagraphFont"/>
    <w:uiPriority w:val="99"/>
    <w:unhideWhenUsed/>
    <w:rPr>
      <w:color w:val="0000FF" w:themeColor="hyperlink"/>
      <w:u w:val="single"/>
    </w:rPr>
  </w:style>
  <w:style w:type="paragraph" w:customStyle="1" w:styleId="Normal10">
    <w:name w:val="Normal1"/>
    <w:pPr>
      <w:widowControl w:val="0"/>
      <w:spacing w:after="80" w:line="240" w:lineRule="auto"/>
    </w:pPr>
  </w:style>
  <w:style w:type="paragraph" w:styleId="Revision">
    <w:name w:val="Revision"/>
    <w:hidden/>
    <w:uiPriority w:val="99"/>
    <w:semiHidden/>
    <w:pPr>
      <w:spacing w:after="0" w:line="240" w:lineRule="auto"/>
    </w:pPr>
  </w:style>
  <w:style w:type="character" w:customStyle="1" w:styleId="GPSL2NumberedBoldHeadingChar">
    <w:name w:val="GPS L2 Numbered Bold Heading Char"/>
    <w:link w:val="GPSL2NumberedBoldHeading"/>
    <w:locked/>
    <w:rsid w:val="0057789E"/>
    <w:rPr>
      <w:rFonts w:ascii="Calibri" w:eastAsia="Times New Roman" w:hAnsi="Calibri" w:cs="Arial"/>
      <w:b/>
      <w:lang w:eastAsia="zh-CN"/>
    </w:rPr>
  </w:style>
  <w:style w:type="table" w:customStyle="1" w:styleId="a">
    <w:name w:val="a"/>
    <w:basedOn w:val="TableNormal"/>
    <w:tblPr>
      <w:tblStyleRowBandSize w:val="1"/>
      <w:tblStyleColBandSize w:val="1"/>
      <w:tblCellMar>
        <w:left w:w="115" w:type="dxa"/>
        <w:right w:w="115" w:type="dxa"/>
      </w:tblCellMar>
    </w:tblPr>
  </w:style>
  <w:style w:type="table" w:customStyle="1" w:styleId="a0">
    <w:name w:val="a0"/>
    <w:basedOn w:val="TableNormal"/>
    <w:tblPr>
      <w:tblStyleRowBandSize w:val="1"/>
      <w:tblStyleColBandSize w:val="1"/>
      <w:tblCellMar>
        <w:left w:w="115" w:type="dxa"/>
        <w:right w:w="115" w:type="dxa"/>
      </w:tblCellMar>
    </w:tblPr>
  </w:style>
  <w:style w:type="table" w:customStyle="1" w:styleId="a1">
    <w:name w:val="a1"/>
    <w:basedOn w:val="TableNormal"/>
    <w:tblPr>
      <w:tblStyleRowBandSize w:val="1"/>
      <w:tblStyleColBandSize w:val="1"/>
      <w:tblCellMar>
        <w:left w:w="115" w:type="dxa"/>
        <w:right w:w="115" w:type="dxa"/>
      </w:tblCellMar>
    </w:tblPr>
  </w:style>
  <w:style w:type="paragraph" w:styleId="ListParagraph">
    <w:name w:val="List Paragraph"/>
    <w:basedOn w:val="Normal1"/>
    <w:uiPriority w:val="34"/>
    <w:qFormat/>
    <w:rsid w:val="00B04D4F"/>
    <w:pPr>
      <w:suppressAutoHyphens/>
      <w:autoSpaceDN w:val="0"/>
      <w:ind w:left="720"/>
      <w:textAlignment w:val="baseline"/>
    </w:pPr>
    <w:rPr>
      <w:rFonts w:cs="Times New Roman"/>
    </w:rPr>
  </w:style>
  <w:style w:type="paragraph" w:customStyle="1" w:styleId="DocID">
    <w:name w:val="DocID"/>
    <w:basedOn w:val="Footer"/>
    <w:next w:val="Footer"/>
    <w:link w:val="DocIDChar"/>
    <w:rsid w:val="002D7890"/>
    <w:pPr>
      <w:tabs>
        <w:tab w:val="clear" w:pos="4513"/>
        <w:tab w:val="clear" w:pos="9026"/>
      </w:tabs>
    </w:pPr>
    <w:rPr>
      <w:rFonts w:ascii="Times New Roman" w:eastAsia="Times New Roman" w:hAnsi="Times New Roman" w:cs="Times New Roman"/>
      <w:sz w:val="18"/>
      <w:szCs w:val="20"/>
    </w:rPr>
  </w:style>
  <w:style w:type="character" w:customStyle="1" w:styleId="DocIDChar">
    <w:name w:val="DocID Char"/>
    <w:basedOn w:val="DefaultParagraphFont"/>
    <w:link w:val="DocID"/>
    <w:rsid w:val="002D7890"/>
    <w:rPr>
      <w:rFonts w:ascii="Times New Roman" w:eastAsia="Times New Roman" w:hAnsi="Times New Roman" w:cs="Times New Roman"/>
      <w:color w:val="auto"/>
      <w:sz w:val="18"/>
      <w:szCs w:val="20"/>
      <w:lang w:val="en-GB" w:eastAsia="en-GB"/>
    </w:rPr>
  </w:style>
  <w:style w:type="paragraph" w:customStyle="1" w:styleId="StyleHeading5ServiceConformance4HeadingHeading5unusedLev">
    <w:name w:val="Style Heading 5Service Conformance 4HeadingHeading 5(unused)Lev..."/>
    <w:basedOn w:val="Heading5"/>
    <w:rsid w:val="001227E1"/>
    <w:pPr>
      <w:keepNext w:val="0"/>
      <w:keepLines w:val="0"/>
      <w:numPr>
        <w:numId w:val="4"/>
      </w:numPr>
      <w:suppressAutoHyphens/>
      <w:overflowPunct w:val="0"/>
      <w:autoSpaceDE w:val="0"/>
      <w:autoSpaceDN w:val="0"/>
      <w:spacing w:before="0" w:after="240" w:line="360" w:lineRule="auto"/>
      <w:textAlignment w:val="baseline"/>
    </w:pPr>
    <w:rPr>
      <w:rFonts w:ascii="Times New Roman" w:eastAsia="Times New Roman" w:hAnsi="Times New Roman"/>
      <w:b w:val="0"/>
      <w:sz w:val="22"/>
      <w:szCs w:val="20"/>
    </w:rPr>
  </w:style>
  <w:style w:type="numbering" w:customStyle="1" w:styleId="LFO48">
    <w:name w:val="LFO48"/>
    <w:basedOn w:val="NoList"/>
    <w:rsid w:val="001227E1"/>
  </w:style>
  <w:style w:type="table" w:customStyle="1" w:styleId="a2">
    <w:name w:val="a2"/>
    <w:basedOn w:val="TableNormal"/>
    <w:tblPr>
      <w:tblStyleRowBandSize w:val="1"/>
      <w:tblStyleColBandSize w:val="1"/>
      <w:tblCellMar>
        <w:left w:w="10" w:type="dxa"/>
        <w:right w:w="10" w:type="dxa"/>
      </w:tblCellMar>
    </w:tblPr>
  </w:style>
  <w:style w:type="table" w:customStyle="1" w:styleId="a3">
    <w:name w:val="a3"/>
    <w:basedOn w:val="TableNormal"/>
    <w:tblPr>
      <w:tblStyleRowBandSize w:val="1"/>
      <w:tblStyleColBandSize w:val="1"/>
      <w:tblCellMar>
        <w:left w:w="10" w:type="dxa"/>
        <w:right w:w="10" w:type="dxa"/>
      </w:tblCellMar>
    </w:tblPr>
  </w:style>
  <w:style w:type="table" w:customStyle="1" w:styleId="a4">
    <w:name w:val="a4"/>
    <w:basedOn w:val="TableNormal"/>
    <w:tblPr>
      <w:tblStyleRowBandSize w:val="1"/>
      <w:tblStyleColBandSize w:val="1"/>
      <w:tblCellMar>
        <w:left w:w="10" w:type="dxa"/>
        <w:right w:w="10" w:type="dxa"/>
      </w:tblCellMar>
    </w:tblPr>
  </w:style>
  <w:style w:type="table" w:customStyle="1" w:styleId="a5">
    <w:name w:val="a5"/>
    <w:basedOn w:val="TableNormal"/>
    <w:tblPr>
      <w:tblStyleRowBandSize w:val="1"/>
      <w:tblStyleColBandSize w:val="1"/>
      <w:tblCellMar>
        <w:left w:w="10" w:type="dxa"/>
        <w:right w:w="10" w:type="dxa"/>
      </w:tblCellMar>
    </w:tblPr>
  </w:style>
  <w:style w:type="table" w:customStyle="1" w:styleId="a6">
    <w:name w:val="a6"/>
    <w:basedOn w:val="TableNormal"/>
    <w:tblPr>
      <w:tblStyleRowBandSize w:val="1"/>
      <w:tblStyleColBandSize w:val="1"/>
      <w:tblCellMar>
        <w:left w:w="10" w:type="dxa"/>
        <w:right w:w="10" w:type="dxa"/>
      </w:tblCellMar>
    </w:tblPr>
  </w:style>
  <w:style w:type="table" w:customStyle="1" w:styleId="a7">
    <w:name w:val="a7"/>
    <w:basedOn w:val="TableNormal"/>
    <w:tblPr>
      <w:tblStyleRowBandSize w:val="1"/>
      <w:tblStyleColBandSize w:val="1"/>
      <w:tblCellMar>
        <w:left w:w="10" w:type="dxa"/>
        <w:right w:w="10" w:type="dxa"/>
      </w:tblCellMar>
    </w:tblPr>
  </w:style>
  <w:style w:type="table" w:customStyle="1" w:styleId="a8">
    <w:name w:val="a8"/>
    <w:basedOn w:val="TableNormal"/>
    <w:tblPr>
      <w:tblStyleRowBandSize w:val="1"/>
      <w:tblStyleColBandSize w:val="1"/>
      <w:tblCellMar>
        <w:left w:w="10" w:type="dxa"/>
        <w:right w:w="10" w:type="dxa"/>
      </w:tblCellMar>
    </w:tblPr>
  </w:style>
  <w:style w:type="table" w:customStyle="1" w:styleId="a9">
    <w:name w:val="a9"/>
    <w:basedOn w:val="TableNormal"/>
    <w:tblPr>
      <w:tblStyleRowBandSize w:val="1"/>
      <w:tblStyleColBandSize w:val="1"/>
      <w:tblCellMar>
        <w:left w:w="10" w:type="dxa"/>
        <w:right w:w="10" w:type="dxa"/>
      </w:tblCellMar>
    </w:tblPr>
  </w:style>
  <w:style w:type="table" w:customStyle="1" w:styleId="aa">
    <w:name w:val="aa"/>
    <w:basedOn w:val="TableNormal"/>
    <w:tblPr>
      <w:tblStyleRowBandSize w:val="1"/>
      <w:tblStyleColBandSize w:val="1"/>
      <w:tblCellMar>
        <w:left w:w="10" w:type="dxa"/>
        <w:right w:w="10" w:type="dxa"/>
      </w:tblCellMar>
    </w:tblPr>
  </w:style>
  <w:style w:type="table" w:customStyle="1" w:styleId="ab">
    <w:name w:val="ab"/>
    <w:basedOn w:val="TableNormal"/>
    <w:tblPr>
      <w:tblStyleRowBandSize w:val="1"/>
      <w:tblStyleColBandSize w:val="1"/>
      <w:tblCellMar>
        <w:left w:w="10" w:type="dxa"/>
        <w:right w:w="10" w:type="dxa"/>
      </w:tblCellMar>
    </w:tblPr>
  </w:style>
  <w:style w:type="table" w:customStyle="1" w:styleId="ac">
    <w:name w:val="ac"/>
    <w:basedOn w:val="TableNormal"/>
    <w:tblPr>
      <w:tblStyleRowBandSize w:val="1"/>
      <w:tblStyleColBandSize w:val="1"/>
      <w:tblCellMar>
        <w:left w:w="10" w:type="dxa"/>
        <w:right w:w="10" w:type="dxa"/>
      </w:tblCellMar>
    </w:tblPr>
  </w:style>
  <w:style w:type="table" w:customStyle="1" w:styleId="ad">
    <w:name w:val="ad"/>
    <w:basedOn w:val="TableNormal"/>
    <w:tblPr>
      <w:tblStyleRowBandSize w:val="1"/>
      <w:tblStyleColBandSize w:val="1"/>
      <w:tblCellMar>
        <w:left w:w="10" w:type="dxa"/>
        <w:right w:w="10" w:type="dxa"/>
      </w:tblCellMar>
    </w:tblPr>
  </w:style>
  <w:style w:type="character" w:styleId="UnresolvedMention">
    <w:name w:val="Unresolved Mention"/>
    <w:basedOn w:val="DefaultParagraphFont"/>
    <w:uiPriority w:val="99"/>
    <w:semiHidden/>
    <w:unhideWhenUsed/>
    <w:rsid w:val="00527C05"/>
    <w:rPr>
      <w:color w:val="605E5C"/>
      <w:shd w:val="clear" w:color="auto" w:fill="E1DFDD"/>
    </w:rPr>
  </w:style>
  <w:style w:type="paragraph" w:styleId="Subtitle">
    <w:name w:val="Subtitle"/>
    <w:basedOn w:val="Normal1"/>
    <w:next w:val="Normal1"/>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1" width="350" row="0" locked="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30e8faf-8fc8-4bbe-b71a-c81a0b572dac">
  <we:reference id="WA104381884" version="3.0.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DMahpjhv2/WhPBglIuc7LvG2gg==">CgMxLjAyCGguZ2pkZ3hzMgloLjMwajB6bGwyCWguMWZvYjl0ZTIJaC4yZXQ5MnAwMgloLjNkeTZ2a20yCWguMXQzaDVzZjIOaC5wOGtzcjlsdndqaDMyCWguNGQzNG9nODIOaC5xb3JqOWYzZWczcHMyDmgueHI0MWozcW5zdDNwMg5oLnZpamliczdhcTI3czgAciExenFCbDdDUFUxSldpYUZES0VHNzY5Um1EUVU0X2FLZkw=</go:docsCustomData>
</go:gDocsCustomXmlDataStorage>
</file>

<file path=customXml/item2.xml><?xml version="1.0" encoding="utf-8"?>
<sqph:contractplaceholders xmlns:sqph="http://schemas.sciquest.com/tcm/office/placeholders/v1" locale="en-GB">
  <sqph:ContractMgmt_ContractNumber debugId="ContractMgmt_ContractNumber" id="ContractMgmt_ContractNumber">RM6364 (Lots 4, 5, 6 &amp; 8)</sqph:ContractMgmt_ContractNumber>
  <sqph:TCMContracts_ContractRenewalNumber debugId="TCMContracts_ContractRenewalNumber" id="TCMContracts_ContractRenewalNumber">0</sqph:TCMContracts_ContractRenewalNumber>
  <sqph:TCMContracts_ContractAdmenmentNumber debugId="TCMContracts_ContractAdmenmentNumber" id="TCMContracts_ContractAdmenmentNumber">0</sqph:TCMContracts_ContractAdmenmentNumber>
  <sqph:TCMContracts_ContractMaxRenewals debugId="TCMContracts_ContractMaxRenewals" id="TCMContracts_ContractMaxRenewals">[[ Renewals Remaining ]]</sqph:TCMContracts_ContractMaxRenewals>
  <sqph:ContractMgmt_ContractName debugId="ContractMgmt_ContractName" id="ContractMgmt_ContractName">Media and Creative Services (Lots 4, 5, 6 &amp; 8)</sqph:ContractMgmt_ContractName>
  <sqph:ContractMgmt_Description debugId="ContractMgmt_Description" id="ContractMgmt_Description">[[ Summary ]]</sqph:ContractMgmt_Description>
  <sqph:ContractMgmt_ContractType debugId="ContractMgmt_ContractType" id="ContractMgmt_ContractType">Public Sector Contract (PSC)</sqph:ContractMgmt_ContractType>
  <sqph:ContractConfigSection_ContractProject debugId="ContractConfigSection_ContractProject" id="ContractConfigSection_ContractProject">CCS Commercial Agreements</sqph:ContractConfigSection_ContractProject>
  <sqph:ContractConfigSection_ParentContract debugId="ContractConfigSection_ParentContract" id="ContractConfigSection_ParentContract">[[ Parent Contract ]]</sqph:ContractConfigSection_ParentContract>
  <sqph:ContractConfigSection_ContractJurisdiction debugId="ContractConfigSection_ContractJurisdiction" id="ContractConfigSection_ContractJurisdiction">[[ Jurisdiction ]]</sqph:ContractConfigSection_ContractJurisdiction>
  <sqph:ContractConfigSection_Currency debugId="ContractConfigSection_Currency" id="ContractConfigSection_Currency">GBP</sqph:ContractConfigSection_Currency>
  <sqph:ContractConfigSection_PaymentTerms debugId="ContractConfigSection_PaymentTerms" id="ContractConfigSection_PaymentTerms">[[ Payment Terms ]]</sqph:ContractConfigSection_PaymentTerms>
  <sqph:ContractMgmt_TimeZone debugId="ContractMgmt_TimeZone" id="ContractMgmt_TimeZone">BST/GMT - Greenwich Mean Time (Europe/London)</sqph:ContractMgmt_TimeZone>
  <sqph:ContractMgmt_EffectiveDate debugId="ContractMgmt_EffectiveDate" id="ContractMgmt_EffectiveDate">2026-01-15T00:00:00</sqph:ContractMgmt_EffectiveDate>
  <sqph:ContractMgmt_ExpirationDate debugId="ContractMgmt_ExpirationDate" id="ContractMgmt_ExpirationDate">2030-01-14T23:59:59</sqph:ContractMgmt_ExpirationDate>
  <sqph:ContractConfigSection_ContractManageres debugId="ContractConfigSection_ContractManageres" id="ContractConfigSection_ContractManageres">Matt Stoltzer</sqph:ContractConfigSection_ContractManageres>
  <sqph:ContractMgmt_Term debugId="ContractMgmt_Term" id="ContractMgmt_Term">[[ Term ]]</sqph:ContractMgmt_Term>
  <sqph:ContractMgmt_AutoRenew debugId="ContractMgmt_AutoRenew" id="ContractMgmt_AutoRenew">false</sqph:ContractMgmt_AutoRenew>
  <sqph:ContractMgmt_RenewalTerm debugId="ContractMgmt_RenewalTerm" id="ContractMgmt_RenewalTerm">[[ Renewal Term ]]</sqph:ContractMgmt_RenewalTerm>
  <sqph:ContractMgmt_RenewalNo debugId="ContractMgmt_RenewalNo" id="ContractMgmt_RenewalNo">0</sqph:ContractMgmt_RenewalNo>
  <sqph:ContractMgmt_Budget debugId="ContractMgmt_Budget" id="ContractMgmt_Budget">0.00 GBP</sqph:ContractMgmt_Budget>
  <sqph:ContractMgmt_PRActual debugId="ContractMgmt_PRActual" id="ContractMgmt_PRActual">0.00 GBP</sqph:ContractMgmt_PRActual>
  <sqph:ContractMgmt_LifetimePRActual debugId="ContractMgmt_LifetimePRActual" id="ContractMgmt_LifetimePRActual">0.00 GBP</sqph:ContractMgmt_LifetimePRActual>
  <sqph:ContractMgmt_LifetimeMemberPRActual debugId="ContractMgmt_LifetimeMemberPRActual" id="ContractMgmt_LifetimeMemberPRActual">0.00 GBP</sqph:ContractMgmt_LifetimeMemberPRActual>
  <sqph:ContractMgmt_POActual debugId="ContractMgmt_POActual" id="ContractMgmt_POActual">0.00 GBP</sqph:ContractMgmt_POActual>
  <sqph:ContractMgmt_LifetimePOActual debugId="ContractMgmt_LifetimePOActual" id="ContractMgmt_LifetimePOActual">0.00 GBP</sqph:ContractMgmt_LifetimePOActual>
  <sqph:ContractMgmt_LifetimeMemberPOActual debugId="ContractMgmt_LifetimeMemberPOActual" id="ContractMgmt_LifetimeMemberPOActual">0.00 GBP</sqph:ContractMgmt_LifetimeMemberPOActual>
  <sqph:ContractMgmt_InvoiceActual debugId="ContractMgmt_InvoiceActual" id="ContractMgmt_InvoiceActual">0.00 GBP</sqph:ContractMgmt_InvoiceActual>
  <sqph:ContractMgmt_LifetimeInvoiceActual debugId="ContractMgmt_LifetimeInvoiceActual" id="ContractMgmt_LifetimeInvoiceActual">0.00 GBP</sqph:ContractMgmt_LifetimeInvoiceActual>
  <sqph:ContractMgmt_LifetimeMemberInvoiceActual debugId="ContractMgmt_LifetimeMemberInvoiceActual" id="ContractMgmt_LifetimeMemberInvoiceActual">0.00 GBP</sqph:ContractMgmt_LifetimeMemberInvoiceActual>
  <sqph:ContractMgmt_TotalContractValue debugId="ContractMgmt_TotalContractValue" id="ContractMgmt_TotalContractValue">0.00 GBP</sqph:ContractMgmt_TotalContractValue>
  <sqph:ContractMgmt_ContractValue debugId="ContractMgmt_ContractValue" id="ContractMgmt_ContractValue">0.00 GBP</sqph:ContractMgmt_ContractValue>
  <sqph:UDF_27244 debugId="Agreement Go Live Date" id="27244" type="80">15/01/2026</sqph:UDF_27244>
  <sqph:UDF_27365 debugId="Multi Lot" id="27365" type="40">Multi Lot</sqph:UDF_27365>
  <sqph:UDF_27363 debugId="Lot Titles" id="27363" type="99">
    <sqph:row>
      <sqph:UDF_27275 debugId="Lot Name" id="27275" type="0">[Lot Name]</sqph:UDF_27275>
      <sqph:UDF_27322 debugId="Lot Number" id="27322" type="0">[Lot Number]</sqph:UDF_27322>
      <sqph:UDF_27255 debugId="Lot Award Date" id="27255" type="80">[Lot Award Date]</sqph:UDF_27255>
      <sqph:UDF_27300 debugId="Lot Expiry Date" id="27300" type="80">[Lot Expiry Date]</sqph:UDF_27300>
      <sqph:UDF_27320 debugId="Levy Type" id="27320" type="40">[Levy Type]</sqph:UDF_27320>
      <sqph:UDF_27253 debugId="Levy Value" id="27253" type="2">[Levy Value]</sqph:UDF_27253>
      <sqph:UDF_27360 debugId="Lot Status" id="27360" type="40">[Lot Status]</sqph:UDF_27360>
    </sqph:row>
  </sqph:UDF_27363>
  <sqph:UDF_27309 debugId="Status" id="27309" type="40">Planned</sqph:UDF_27309>
  <sqph:UDF_27252 debugId="Future Agreement" id="27252" type="1">[[ Future Agreement ]]</sqph:UDF_27252>
  <sqph:UDF_27333 debugId="Replacement Framework Award Date (Target)" id="27333" type="80">[[ Replacement Framework Award Date (Target) ]]</sqph:UDF_27333>
  <sqph:UDF_27262 debugId="Agreement Duration" id="27262" type="2">48.00</sqph:UDF_27262>
  <sqph:UDF_27291 debugId="Extension Options" id="27291" type="40">No</sqph:UDF_27291>
  <sqph:UDF_27250 debugId="Extension Option(s) Taken" id="27250" type="40">No</sqph:UDF_27250>
  <sqph:UDF_27248 debugId="Extension Details" id="27248" type="1">[[ Extension Details ]]</sqph:UDF_27248>
  <sqph:UDF_27266 debugId="Category Lead" id="27266" type="1">Claire Graham</sqph:UDF_27266>
  <sqph:UDF_27268 debugId="Category Manager" id="27268" type="0">Ryan James</sqph:UDF_27268>
  <sqph:UDF_27293 debugId="FTS Agreement Value" id="27293" type="103">2,000,000,000.00 GBP</sqph:UDF_27293>
  <sqph:UDF_27270 debugId="Commercial Benefits" id="27270" type="2">[[ Commercial Benefits ]]</sqph:UDF_27270>
  <sqph:UDF_27246 debugId="Commercial Benefits Forecast and Actual" id="27246" type="99">
    <sqph:row>
      <sqph:UDF_27286 debugId="CB %" id="27286" type="2">[CB %]</sqph:UDF_27286>
      <sqph:UDF_27336 debugId="Year" id="27336" type="0">[Year]</sqph:UDF_27336>
    </sqph:row>
  </sqph:UDF_27246>
  <sqph:UDF_27345 debugId="Segmentation Output" id="27345" type="0">[[ Segmentation Output ]]</sqph:UDF_27345>
  <sqph:UDF_27307 debugId="Replacement or New Framework" id="27307" type="40">New</sqph:UDF_27307>
  <sqph:UDF_27295 debugId="FTS Date (Target)" id="27295" type="80">29/05/2025</sqph:UDF_27295>
  <sqph:UDF_27371 debugId="Tender Closing Date" id="27371" type="80">28/07/2025</sqph:UDF_27371>
  <sqph:UDF_27264 debugId="Award Date (Target)" id="27264" type="80">15/01/2026</sqph:UDF_27264>
  <sqph:UDF_27285 debugId="Award Date (Actual)" id="27285" type="80">15/01/2026</sqph:UDF_27285>
  <sqph:UDF_27297 debugId="Go Live Date" id="27297" type="80">15/01/2026</sqph:UDF_27297>
  <sqph:UDF_27305 debugId="Planned Final Bus Case Approval" id="27305" type="80">05/02/2025</sqph:UDF_27305>
  <sqph:UDF_27331 debugId="Planned Date for FTS Release Approval" id="27331" type="80">28/05/2025</sqph:UDF_27331>
  <sqph:UDF_27341 debugId="Planned Intention to Award Approval" id="27341" type="80">26/11/2025</sqph:UDF_27341>
  <sqph:UDF_27347 debugId="Spend Type" id="27347" type="40">Direct</sqph:UDF_27347>
  <sqph:UDF_27349 debugId="Sub Spend Type" id="27349" type="40">Standard / Variable Levy</sqph:UDF_27349>
  <sqph:UDF_27327 debugId="Model Forms of Contract Available" id="27327" type="1">[[ Model Forms of Contract Available ]]</sqph:UDF_27327>
  <sqph:UDF_27335 debugId="Service Level Offering" id="27335" type="50">[[ Service Level Offering ]]</sqph:UDF_27335>
  <sqph:UDF_27289 debugId="Direct Award" id="27289" type="10">[[ Direct Award ]]</sqph:UDF_27289>
  <sqph:UDF_28763 debugId="Supplier Registered Company Name" id="28763" type="0">[[ Supplier Registered Company Name ]]</sqph:UDF_28763>
  <sqph:UDF_28741 debugId="Address" id="28741" type="1">[[ Address ]]</sqph:UDF_28741>
  <sqph:UDF_28761 debugId="Company Registration Number" id="28761" type="0">[[ Company Registration Number ]]</sqph:UDF_28761>
  <sqph:UDF_28725 debugId="SID4GOV" id="28725" type="0">[[ SID4GOV ]]</sqph:UDF_28725>
  <sqph:UDF_28723 debugId="Successful Lots" id="28723" type="1">[[ Successful Lots ]]</sqph:UDF_28723>
  <sqph:UDF_28657 debugId="Supplier Framework Manager" id="28657" type="1">[[ Supplier Framework Manager ]]</sqph:UDF_28657>
  <sqph:UDF_28721 debugId="Supplier Authorised Representative" id="28721" type="1">[[ Supplier Authorised Representative ]]</sqph:UDF_28721>
  <sqph:UDF_28677 debugId="Supplier Compliance Officer" id="28677" type="1">[[ Supplier Compliance Officer ]]</sqph:UDF_28677>
  <sqph:UDF_28697 debugId="Supplier Data Protection Officer" id="28697" type="1">[[ Supplier Data Protection Officer ]]</sqph:UDF_28697>
  <sqph:UDF_28695 debugId="Supplier Marketing Contact" id="28695" type="1">[[ Supplier Marketing Contact ]]</sqph:UDF_28695>
  <sqph:UDF_28711 debugId="Commercially Sensitive Information" id="28711" type="1">[[ Commercially Sensitive Information ]]</sqph:UDF_28711>
  <sqph:FirstParties>
    <sqph:FirstParty>
      <sqph:PlaceholderLegalEntityName>Crown Commercial Service (CCS)</sqph:PlaceholderLegalEntityName>
      <sqph:PlaceholderLegalEntityDBA>[[ Doing Business As  (* Crown Commercial Service (CCS)) ]]</sqph:PlaceholderLegalEntityDBA>
      <sqph:PlaceholderLegalEntityOtherNames>[[ Other Names (* Crown Commercial Service (CCS)) ]]</sqph:PlaceholderLegalEntityOtherNames>
      <sqph:PlaceholderLegalEntityAddress1>[[ Street Line 1 (* Crown Commercial Service (CCS)) ]]</sqph:PlaceholderLegalEntityAddress1>
      <sqph:PlaceholderLegalEntityAddress2>[[ Street Line 2 (* Crown Commercial Service (CCS)) ]]</sqph:PlaceholderLegalEntityAddress2>
      <sqph:PlaceholderLegalEntityAddress3>[[ Street Line 3 (* Crown Commercial Service (CCS)) ]]</sqph:PlaceholderLegalEntityAddress3>
      <sqph:PlaceholderLegalEntityCityTown>[[ City/Town (* Crown Commercial Service (CCS)) ]]</sqph:PlaceholderLegalEntityCityTown>
      <sqph:PlaceholderLegalEntityStateProvince>[[ State/Province (* Crown Commercial Service (CCS)) ]]</sqph:PlaceholderLegalEntityStateProvince>
      <sqph:PlaceholderLegalEntityPostalCode>[[ Postal Code (* Crown Commercial Service (CCS)) ]]</sqph:PlaceholderLegalEntityPostalCode>
      <sqph:PlaceholderLegalEntityCountry>[[ Country (* Crown Commercial Service (CCS)) ]]</sqph:PlaceholderLegalEntityCountry>
      <sqph:PlaceholderLegalEntityPhone>[[ Phone Number (* Crown Commercial Service (CCS)) ]]</sqph:PlaceholderLegalEntityPhone>
      <sqph:PlaceholderLegalEntityFaxNumber>[[ Fax Number (* Crown Commercial Service (CCS)) ]]</sqph:PlaceholderLegalEntityFaxNumber>
      <sqph:PlaceholderLegalEntityContractName>[[ Contact Name (* Crown Commercial Service (CCS)) ]]</sqph:PlaceholderLegalEntityContractName>
      <sqph:PlaceholderLegalEntityContactTitle>[[ Contact Title (* Crown Commercial Service (CCS)) ]]</sqph:PlaceholderLegalEntityContactTitle>
      <sqph:PlaceholderLegalEntityContactPhone>[[ Contact Phone Number (* Crown Commercial Service (CCS)) ]]</sqph:PlaceholderLegalEntityContactPhone>
      <sqph:PlaceholderLegalEntityContractEmail>[[ Contact E-mail (* Crown Commercial Service (CCS)) ]]</sqph:PlaceholderLegalEntityContractEmail>
    </sqph:FirstParty>
    <sqph:FirstParty>
      <sqph:PlaceholderLegalEntityName>[[ Name (Additional First Party 1) ]]</sqph:PlaceholderLegalEntityName>
      <sqph:PlaceholderLegalEntityDBA>[[ Doing Business As  (Additional First Party 1) ]]</sqph:PlaceholderLegalEntityDBA>
      <sqph:PlaceholderLegalEntityOtherNames>[[ Other Names (Additional First Party 1) ]]</sqph:PlaceholderLegalEntityOtherNames>
      <sqph:PlaceholderLegalEntityAddress1>[[ Street Line 1 (Additional First Party 1) ]]</sqph:PlaceholderLegalEntityAddress1>
      <sqph:PlaceholderLegalEntityAddress2>[[ Street Line 2 (Additional First Party 1) ]]</sqph:PlaceholderLegalEntityAddress2>
      <sqph:PlaceholderLegalEntityAddress3>[[ Street Line 3 (Additional First Party 1) ]]</sqph:PlaceholderLegalEntityAddress3>
      <sqph:PlaceholderLegalEntityCityTown>[[ City/Town (Additional First Party 1) ]]</sqph:PlaceholderLegalEntityCityTown>
      <sqph:PlaceholderLegalEntityStateProvince>[[ State/Province (Additional First Party 1) ]]</sqph:PlaceholderLegalEntityStateProvince>
      <sqph:PlaceholderLegalEntityPostalCode>[[ Postal Code (Additional First Party 1) ]]</sqph:PlaceholderLegalEntityPostalCode>
      <sqph:PlaceholderLegalEntityCountry>[[ Country (Additional First Party 1) ]]</sqph:PlaceholderLegalEntityCountry>
      <sqph:PlaceholderLegalEntityPhone>[[ Phone Number (Additional First Party 1) ]]</sqph:PlaceholderLegalEntityPhone>
      <sqph:PlaceholderLegalEntityFaxNumber>[[ Fax Number (Additional First Party 1) ]]</sqph:PlaceholderLegalEntityFaxNumber>
      <sqph:PlaceholderLegalEntityContractName>[[ Contact Name (Additional First Party 1 Contact ) ]]</sqph:PlaceholderLegalEntityContractName>
      <sqph:PlaceholderLegalEntityContactTitle>[[ Contact Title (Additional First Party 1 Contact ) ]]</sqph:PlaceholderLegalEntityContactTitle>
      <sqph:PlaceholderLegalEntityContactPhone>[[ Contact Phone Number (Additional First Party 1 Contact ) ]]</sqph:PlaceholderLegalEntityContactPhone>
      <sqph:PlaceholderLegalEntityContractEmail>[[ Contact E-mail (Additional First Party 1 Contact ) ]]</sqph:PlaceholderLegalEntityContractEmail>
    </sqph:FirstParty>
    <sqph:FirstParty>
      <sqph:PlaceholderLegalEntityName>[[ Name (Additional First Party 2) ]]</sqph:PlaceholderLegalEntityName>
      <sqph:PlaceholderLegalEntityDBA>[[ Doing Business As  (Additional First Party 2) ]]</sqph:PlaceholderLegalEntityDBA>
      <sqph:PlaceholderLegalEntityOtherNames>[[ Other Names (Additional First Party 2) ]]</sqph:PlaceholderLegalEntityOtherNames>
      <sqph:PlaceholderLegalEntityAddress1>[[ Street Line 1 (Additional First Party 2) ]]</sqph:PlaceholderLegalEntityAddress1>
      <sqph:PlaceholderLegalEntityAddress2>[[ Street Line 2 (Additional First Party 2) ]]</sqph:PlaceholderLegalEntityAddress2>
      <sqph:PlaceholderLegalEntityAddress3>[[ Street Line 3 (Additional First Party 2) ]]</sqph:PlaceholderLegalEntityAddress3>
      <sqph:PlaceholderLegalEntityCityTown>[[ City/Town (Additional First Party 2) ]]</sqph:PlaceholderLegalEntityCityTown>
      <sqph:PlaceholderLegalEntityStateProvince>[[ State/Province (Additional First Party 2) ]]</sqph:PlaceholderLegalEntityStateProvince>
      <sqph:PlaceholderLegalEntityPostalCode>[[ Postal Code (Additional First Party 2) ]]</sqph:PlaceholderLegalEntityPostalCode>
      <sqph:PlaceholderLegalEntityCountry>[[ Country (Additional First Party 2) ]]</sqph:PlaceholderLegalEntityCountry>
      <sqph:PlaceholderLegalEntityPhone>[[ Phone Number (Additional First Party 2) ]]</sqph:PlaceholderLegalEntityPhone>
      <sqph:PlaceholderLegalEntityFaxNumber>[[ Fax Number (Additional First Party 2) ]]</sqph:PlaceholderLegalEntityFaxNumber>
      <sqph:PlaceholderLegalEntityContractName>[[ Contact Name (Additional First Party 2 Contact ) ]]</sqph:PlaceholderLegalEntityContractName>
      <sqph:PlaceholderLegalEntityContactTitle>[[ Contact Title (Additional First Party 2 Contact ) ]]</sqph:PlaceholderLegalEntityContactTitle>
      <sqph:PlaceholderLegalEntityContactPhone>[[ Contact Phone Number (Additional First Party 2 Contact ) ]]</sqph:PlaceholderLegalEntityContactPhone>
      <sqph:PlaceholderLegalEntityContractEmail>[[ Contact E-mail (Additional First Party 2 Contact ) ]]</sqph:PlaceholderLegalEntityContractEmail>
    </sqph:FirstParty>
    <sqph:FirstParty>
      <sqph:PlaceholderLegalEntityName>[[ Name (Additional First Party 3) ]]</sqph:PlaceholderLegalEntityName>
      <sqph:PlaceholderLegalEntityDBA>[[ Doing Business As  (Additional First Party 3) ]]</sqph:PlaceholderLegalEntityDBA>
      <sqph:PlaceholderLegalEntityOtherNames>[[ Other Names (Additional First Party 3) ]]</sqph:PlaceholderLegalEntityOtherNames>
      <sqph:PlaceholderLegalEntityAddress1>[[ Street Line 1 (Additional First Party 3) ]]</sqph:PlaceholderLegalEntityAddress1>
      <sqph:PlaceholderLegalEntityAddress2>[[ Street Line 2 (Additional First Party 3) ]]</sqph:PlaceholderLegalEntityAddress2>
      <sqph:PlaceholderLegalEntityAddress3>[[ Street Line 3 (Additional First Party 3) ]]</sqph:PlaceholderLegalEntityAddress3>
      <sqph:PlaceholderLegalEntityCityTown>[[ City/Town (Additional First Party 3) ]]</sqph:PlaceholderLegalEntityCityTown>
      <sqph:PlaceholderLegalEntityStateProvince>[[ State/Province (Additional First Party 3) ]]</sqph:PlaceholderLegalEntityStateProvince>
      <sqph:PlaceholderLegalEntityPostalCode>[[ Postal Code (Additional First Party 3) ]]</sqph:PlaceholderLegalEntityPostalCode>
      <sqph:PlaceholderLegalEntityCountry>[[ Country (Additional First Party 3) ]]</sqph:PlaceholderLegalEntityCountry>
      <sqph:PlaceholderLegalEntityPhone>[[ Phone Number (Additional First Party 3) ]]</sqph:PlaceholderLegalEntityPhone>
      <sqph:PlaceholderLegalEntityFaxNumber>[[ Fax Number (Additional First Party 3) ]]</sqph:PlaceholderLegalEntityFaxNumber>
      <sqph:PlaceholderLegalEntityContractName>[[ Contact Name (Additional First Party 3 Contact ) ]]</sqph:PlaceholderLegalEntityContractName>
      <sqph:PlaceholderLegalEntityContactTitle>[[ Contact Title (Additional First Party 3 Contact ) ]]</sqph:PlaceholderLegalEntityContactTitle>
      <sqph:PlaceholderLegalEntityContactPhone>[[ Contact Phone Number (Additional First Party 3 Contact ) ]]</sqph:PlaceholderLegalEntityContactPhone>
      <sqph:PlaceholderLegalEntityContractEmail>[[ Contact E-mail (Additional First Party 3 Contact ) ]]</sqph:PlaceholderLegalEntityContractEmail>
    </sqph:FirstParty>
    <sqph:FirstParty>
      <sqph:PlaceholderLegalEntityName>[[ Name (Additional First Party 4) ]]</sqph:PlaceholderLegalEntityName>
      <sqph:PlaceholderLegalEntityDBA>[[ Doing Business As  (Additional First Party 4) ]]</sqph:PlaceholderLegalEntityDBA>
      <sqph:PlaceholderLegalEntityOtherNames>[[ Other Names (Additional First Party 4) ]]</sqph:PlaceholderLegalEntityOtherNames>
      <sqph:PlaceholderLegalEntityAddress1>[[ Street Line 1 (Additional First Party 4) ]]</sqph:PlaceholderLegalEntityAddress1>
      <sqph:PlaceholderLegalEntityAddress2>[[ Street Line 2 (Additional First Party 4) ]]</sqph:PlaceholderLegalEntityAddress2>
      <sqph:PlaceholderLegalEntityAddress3>[[ Street Line 3 (Additional First Party 4) ]]</sqph:PlaceholderLegalEntityAddress3>
      <sqph:PlaceholderLegalEntityCityTown>[[ City/Town (Additional First Party 4) ]]</sqph:PlaceholderLegalEntityCityTown>
      <sqph:PlaceholderLegalEntityStateProvince>[[ State/Province (Additional First Party 4) ]]</sqph:PlaceholderLegalEntityStateProvince>
      <sqph:PlaceholderLegalEntityPostalCode>[[ Postal Code (Additional First Party 4) ]]</sqph:PlaceholderLegalEntityPostalCode>
      <sqph:PlaceholderLegalEntityCountry>[[ Country (Additional First Party 4) ]]</sqph:PlaceholderLegalEntityCountry>
      <sqph:PlaceholderLegalEntityPhone>[[ Phone Number (Additional First Party 4) ]]</sqph:PlaceholderLegalEntityPhone>
      <sqph:PlaceholderLegalEntityFaxNumber>[[ Fax Number (Additional First Party 4) ]]</sqph:PlaceholderLegalEntityFaxNumber>
      <sqph:PlaceholderLegalEntityContractName>[[ Contact Name (Additional First Party 4 Contact ) ]]</sqph:PlaceholderLegalEntityContractName>
      <sqph:PlaceholderLegalEntityContactTitle>[[ Contact Title (Additional First Party 4 Contact ) ]]</sqph:PlaceholderLegalEntityContactTitle>
      <sqph:PlaceholderLegalEntityContactPhone>[[ Contact Phone Number (Additional First Party 4 Contact ) ]]</sqph:PlaceholderLegalEntityContactPhone>
      <sqph:PlaceholderLegalEntityContractEmail>[[ Contact E-mail (Additional First Party 4 Contact ) ]]</sqph:PlaceholderLegalEntityContractEmail>
    </sqph:FirstParty>
    <sqph:FirstParty>
      <sqph:PlaceholderLegalEntityName>[[ Name (Additional First Party 5) ]]</sqph:PlaceholderLegalEntityName>
      <sqph:PlaceholderLegalEntityDBA>[[ Doing Business As  (Additional First Party 5) ]]</sqph:PlaceholderLegalEntityDBA>
      <sqph:PlaceholderLegalEntityOtherNames>[[ Other Names (Additional First Party 5) ]]</sqph:PlaceholderLegalEntityOtherNames>
      <sqph:PlaceholderLegalEntityAddress1>[[ Street Line 1 (Additional First Party 5) ]]</sqph:PlaceholderLegalEntityAddress1>
      <sqph:PlaceholderLegalEntityAddress2>[[ Street Line 2 (Additional First Party 5) ]]</sqph:PlaceholderLegalEntityAddress2>
      <sqph:PlaceholderLegalEntityAddress3>[[ Street Line 3 (Additional First Party 5) ]]</sqph:PlaceholderLegalEntityAddress3>
      <sqph:PlaceholderLegalEntityCityTown>[[ City/Town (Additional First Party 5) ]]</sqph:PlaceholderLegalEntityCityTown>
      <sqph:PlaceholderLegalEntityStateProvince>[[ State/Province (Additional First Party 5) ]]</sqph:PlaceholderLegalEntityStateProvince>
      <sqph:PlaceholderLegalEntityPostalCode>[[ Postal Code (Additional First Party 5) ]]</sqph:PlaceholderLegalEntityPostalCode>
      <sqph:PlaceholderLegalEntityCountry>[[ Country (Additional First Party 5) ]]</sqph:PlaceholderLegalEntityCountry>
      <sqph:PlaceholderLegalEntityPhone>[[ Phone Number (Additional First Party 5) ]]</sqph:PlaceholderLegalEntityPhone>
      <sqph:PlaceholderLegalEntityFaxNumber>[[ Fax Number (Additional First Party 5) ]]</sqph:PlaceholderLegalEntityFaxNumber>
      <sqph:PlaceholderLegalEntityContractName>[[ Contact Name (Additional First Party 5 Contact ) ]]</sqph:PlaceholderLegalEntityContractName>
      <sqph:PlaceholderLegalEntityContactTitle>[[ Contact Title (Additional First Party 5 Contact ) ]]</sqph:PlaceholderLegalEntityContactTitle>
      <sqph:PlaceholderLegalEntityContactPhone>[[ Contact Phone Number (Additional First Party 5 Contact ) ]]</sqph:PlaceholderLegalEntityContactPhone>
      <sqph:PlaceholderLegalEntityContractEmail>[[ Contact E-mail (Additional First Party 5 Contact ) ]]</sqph:PlaceholderLegalEntityContractEmail>
    </sqph:FirstParty>
  </sqph:FirstParties>
  <sqph:SecondParties>
    <sqph:SecondParty>
      <sqph:PlaceholderLegalEntityName>Primary Framework Agreement 2nd Party</sqph:PlaceholderLegalEntityName>
      <sqph:PlaceholderLegalEntityDBA>[[ Doing Business As  (* Primary Framework Agreement 2nd Party) ]]</sqph:PlaceholderLegalEntityDBA>
      <sqph:PlaceholderLegalEntityOtherNames>[[ Other Names (* Primary Framework Agreement 2nd Party) ]]</sqph:PlaceholderLegalEntityOtherNames>
      <sqph:PlaceholderLegalEntityAddress1>[[ Street Line 1 (* Primary Framework Agreement 2nd Party) ]]</sqph:PlaceholderLegalEntityAddress1>
      <sqph:PlaceholderLegalEntityAddress2>[[ Street Line 2 (* Primary Framework Agreement 2nd Party) ]]</sqph:PlaceholderLegalEntityAddress2>
      <sqph:PlaceholderLegalEntityAddress3>[[ Street Line 3 (* Primary Framework Agreement 2nd Party) ]]</sqph:PlaceholderLegalEntityAddress3>
      <sqph:PlaceholderLegalEntityCityTown>[[ City/Town (* Primary Framework Agreement 2nd Party) ]]</sqph:PlaceholderLegalEntityCityTown>
      <sqph:PlaceholderLegalEntityStateProvince>[[ State/Province (* Primary Framework Agreement 2nd Party) ]]</sqph:PlaceholderLegalEntityStateProvince>
      <sqph:PlaceholderLegalEntityPostalCode>[[ Postal Code (* Primary Framework Agreement 2nd Party) ]]</sqph:PlaceholderLegalEntityPostalCode>
      <sqph:PlaceholderLegalEntityCountry>[[ Country (* Primary Framework Agreement 2nd Party) ]]</sqph:PlaceholderLegalEntityCountry>
      <sqph:PlaceholderLegalEntityPhone>[[ Phone Number (* Primary Framework Agreement 2nd Party) ]]</sqph:PlaceholderLegalEntityPhone>
      <sqph:PlaceholderLegalEntityFaxNumber>[[ Fax Number (* Primary Framework Agreement 2nd Party) ]]</sqph:PlaceholderLegalEntityFaxNumber>
      <sqph:PlaceholderLegalEntityContractName>[[ Contact Name (* Primary Framework Agreement 2nd Party) ]]</sqph:PlaceholderLegalEntityContractName>
      <sqph:PlaceholderLegalEntityContactTitle>[[ Contact Title (* Primary Framework Agreement 2nd Party) ]]</sqph:PlaceholderLegalEntityContactTitle>
      <sqph:PlaceholderLegalEntityContactPhone>[[ Contact Phone Number (* Primary Framework Agreement 2nd Party) ]]</sqph:PlaceholderLegalEntityContactPhone>
      <sqph:PlaceholderLegalEntityContactFaxNumber>[[ Contact Fax Number (* Primary Framework Agreement 2nd Party) ]]</sqph:PlaceholderLegalEntityContactFaxNumber>
      <sqph:PlaceholderLegalEntityContractEmail>[[ Contact E-mail (* Primary Framework Agreement 2nd Party) ]]</sqph:PlaceholderLegalEntityContractEmail>
    </sqph:SecondParty>
    <sqph:SecondParty>
      <sqph:PlaceholderLegalEntityName>[[ Name (Additional Second Party 1) ]]</sqph:PlaceholderLegalEntityName>
      <sqph:PlaceholderLegalEntityDBA>[[ Doing Business As  (Additional Second Party 1) ]]</sqph:PlaceholderLegalEntityDBA>
      <sqph:PlaceholderLegalEntityOtherNames>[[ Other Names (Additional Second Party 1) ]]</sqph:PlaceholderLegalEntityOtherNames>
      <sqph:PlaceholderLegalEntityAddress1>[[ Street Line 1 (Additional Second Party 1) ]]</sqph:PlaceholderLegalEntityAddress1>
      <sqph:PlaceholderLegalEntityAddress2>[[ Street Line 2 (Additional Second Party 1) ]]</sqph:PlaceholderLegalEntityAddress2>
      <sqph:PlaceholderLegalEntityAddress3>[[ Street Line 3 (Additional Second Party 1) ]]</sqph:PlaceholderLegalEntityAddress3>
      <sqph:PlaceholderLegalEntityCityTown>[[ City/Town (Additional Second Party 1) ]]</sqph:PlaceholderLegalEntityCityTown>
      <sqph:PlaceholderLegalEntityStateProvince>[[ State/Province (Additional Second Party 1) ]]</sqph:PlaceholderLegalEntityStateProvince>
      <sqph:PlaceholderLegalEntityPostalCode>[[ Postal Code (Additional Second Party 1) ]]</sqph:PlaceholderLegalEntityPostalCode>
      <sqph:PlaceholderLegalEntityCountry>[[ Country (Additional Second Party 1) ]]</sqph:PlaceholderLegalEntityCountry>
      <sqph:PlaceholderLegalEntityPhone>[[ Phone Number (Additional Second Party 1) ]]</sqph:PlaceholderLegalEntityPhone>
      <sqph:PlaceholderLegalEntityFaxNumber>[[ Fax Number (Additional Second Party 1) ]]</sqph:PlaceholderLegalEntityFaxNumber>
      <sqph:PlaceholderLegalEntityContractName>[[ Contact Name (Additional Second Party 1 Contact ) ]]</sqph:PlaceholderLegalEntityContractName>
      <sqph:PlaceholderLegalEntityContactTitle>[[ Contact Title (Additional Second Party 1 Contact ) ]]</sqph:PlaceholderLegalEntityContactTitle>
      <sqph:PlaceholderLegalEntityContactPhone>[[ Contact Phone Number (Additional Second Party 1 Contact ) ]]</sqph:PlaceholderLegalEntityContactPhone>
      <sqph:PlaceholderLegalEntityContactFaxNumber>[[ Contact Fax Number (Additional Second Party 1 Contact ) ]]</sqph:PlaceholderLegalEntityContactFaxNumber>
      <sqph:PlaceholderLegalEntityContractEmail>[[ Contact E-mail (Additional Second Party 1 Contact ) ]]</sqph:PlaceholderLegalEntityContractEmail>
    </sqph:SecondParty>
    <sqph:SecondParty>
      <sqph:PlaceholderLegalEntityName>[[ Name (Additional Second Party 2) ]]</sqph:PlaceholderLegalEntityName>
      <sqph:PlaceholderLegalEntityDBA>[[ Doing Business As  (Additional Second Party 2) ]]</sqph:PlaceholderLegalEntityDBA>
      <sqph:PlaceholderLegalEntityOtherNames>[[ Other Names (Additional Second Party 2) ]]</sqph:PlaceholderLegalEntityOtherNames>
      <sqph:PlaceholderLegalEntityAddress1>[[ Street Line 1 (Additional Second Party 2) ]]</sqph:PlaceholderLegalEntityAddress1>
      <sqph:PlaceholderLegalEntityAddress2>[[ Street Line 2 (Additional Second Party 2) ]]</sqph:PlaceholderLegalEntityAddress2>
      <sqph:PlaceholderLegalEntityAddress3>[[ Street Line 3 (Additional Second Party 2) ]]</sqph:PlaceholderLegalEntityAddress3>
      <sqph:PlaceholderLegalEntityCityTown>[[ City/Town (Additional Second Party 2) ]]</sqph:PlaceholderLegalEntityCityTown>
      <sqph:PlaceholderLegalEntityStateProvince>[[ State/Province (Additional Second Party 2) ]]</sqph:PlaceholderLegalEntityStateProvince>
      <sqph:PlaceholderLegalEntityPostalCode>[[ Postal Code (Additional Second Party 2) ]]</sqph:PlaceholderLegalEntityPostalCode>
      <sqph:PlaceholderLegalEntityCountry>[[ Country (Additional Second Party 2) ]]</sqph:PlaceholderLegalEntityCountry>
      <sqph:PlaceholderLegalEntityPhone>[[ Phone Number (Additional Second Party 2) ]]</sqph:PlaceholderLegalEntityPhone>
      <sqph:PlaceholderLegalEntityFaxNumber>[[ Fax Number (Additional Second Party 2) ]]</sqph:PlaceholderLegalEntityFaxNumber>
      <sqph:PlaceholderLegalEntityContractName>[[ Contact Name (Additional Second Party 2 Contact ) ]]</sqph:PlaceholderLegalEntityContractName>
      <sqph:PlaceholderLegalEntityContactTitle>[[ Contact Title (Additional Second Party 2 Contact ) ]]</sqph:PlaceholderLegalEntityContactTitle>
      <sqph:PlaceholderLegalEntityContactPhone>[[ Contact Phone Number (Additional Second Party 2 Contact ) ]]</sqph:PlaceholderLegalEntityContactPhone>
      <sqph:PlaceholderLegalEntityContactFaxNumber>[[ Contact Fax Number (Additional Second Party 2 Contact ) ]]</sqph:PlaceholderLegalEntityContactFaxNumber>
      <sqph:PlaceholderLegalEntityContractEmail>[[ Contact E-mail (Additional Second Party 2 Contact ) ]]</sqph:PlaceholderLegalEntityContractEmail>
    </sqph:SecondParty>
    <sqph:SecondParty>
      <sqph:PlaceholderLegalEntityName>[[ Name (Additional Second Party 3) ]]</sqph:PlaceholderLegalEntityName>
      <sqph:PlaceholderLegalEntityDBA>[[ Doing Business As  (Additional Second Party 3) ]]</sqph:PlaceholderLegalEntityDBA>
      <sqph:PlaceholderLegalEntityOtherNames>[[ Other Names (Additional Second Party 3) ]]</sqph:PlaceholderLegalEntityOtherNames>
      <sqph:PlaceholderLegalEntityAddress1>[[ Street Line 1 (Additional Second Party 3) ]]</sqph:PlaceholderLegalEntityAddress1>
      <sqph:PlaceholderLegalEntityAddress2>[[ Street Line 2 (Additional Second Party 3) ]]</sqph:PlaceholderLegalEntityAddress2>
      <sqph:PlaceholderLegalEntityAddress3>[[ Street Line 3 (Additional Second Party 3) ]]</sqph:PlaceholderLegalEntityAddress3>
      <sqph:PlaceholderLegalEntityCityTown>[[ City/Town (Additional Second Party 3) ]]</sqph:PlaceholderLegalEntityCityTown>
      <sqph:PlaceholderLegalEntityStateProvince>[[ State/Province (Additional Second Party 3) ]]</sqph:PlaceholderLegalEntityStateProvince>
      <sqph:PlaceholderLegalEntityPostalCode>[[ Postal Code (Additional Second Party 3) ]]</sqph:PlaceholderLegalEntityPostalCode>
      <sqph:PlaceholderLegalEntityCountry>[[ Country (Additional Second Party 3) ]]</sqph:PlaceholderLegalEntityCountry>
      <sqph:PlaceholderLegalEntityPhone>[[ Phone Number (Additional Second Party 3) ]]</sqph:PlaceholderLegalEntityPhone>
      <sqph:PlaceholderLegalEntityFaxNumber>[[ Fax Number (Additional Second Party 3) ]]</sqph:PlaceholderLegalEntityFaxNumber>
      <sqph:PlaceholderLegalEntityContractName>[[ Contact Name (Additional Second Party 3 Contact ) ]]</sqph:PlaceholderLegalEntityContractName>
      <sqph:PlaceholderLegalEntityContactTitle>[[ Contact Title (Additional Second Party 3 Contact ) ]]</sqph:PlaceholderLegalEntityContactTitle>
      <sqph:PlaceholderLegalEntityContactPhone>[[ Contact Phone Number (Additional Second Party 3 Contact ) ]]</sqph:PlaceholderLegalEntityContactPhone>
      <sqph:PlaceholderLegalEntityContactFaxNumber>[[ Contact Fax Number (Additional Second Party 3 Contact ) ]]</sqph:PlaceholderLegalEntityContactFaxNumber>
      <sqph:PlaceholderLegalEntityContractEmail>[[ Contact E-mail (Additional Second Party 3 Contact ) ]]</sqph:PlaceholderLegalEntityContractEmail>
    </sqph:SecondParty>
    <sqph:SecondParty>
      <sqph:PlaceholderLegalEntityName>[[ Name (Additional Second Party 4) ]]</sqph:PlaceholderLegalEntityName>
      <sqph:PlaceholderLegalEntityDBA>[[ Doing Business As  (Additional Second Party 4) ]]</sqph:PlaceholderLegalEntityDBA>
      <sqph:PlaceholderLegalEntityOtherNames>[[ Other Names (Additional Second Party 4) ]]</sqph:PlaceholderLegalEntityOtherNames>
      <sqph:PlaceholderLegalEntityAddress1>[[ Street Line 1 (Additional Second Party 4) ]]</sqph:PlaceholderLegalEntityAddress1>
      <sqph:PlaceholderLegalEntityAddress2>[[ Street Line 2 (Additional Second Party 4) ]]</sqph:PlaceholderLegalEntityAddress2>
      <sqph:PlaceholderLegalEntityAddress3>[[ Street Line 3 (Additional Second Party 4) ]]</sqph:PlaceholderLegalEntityAddress3>
      <sqph:PlaceholderLegalEntityCityTown>[[ City/Town (Additional Second Party 4) ]]</sqph:PlaceholderLegalEntityCityTown>
      <sqph:PlaceholderLegalEntityStateProvince>[[ State/Province (Additional Second Party 4) ]]</sqph:PlaceholderLegalEntityStateProvince>
      <sqph:PlaceholderLegalEntityPostalCode>[[ Postal Code (Additional Second Party 4) ]]</sqph:PlaceholderLegalEntityPostalCode>
      <sqph:PlaceholderLegalEntityCountry>[[ Country (Additional Second Party 4) ]]</sqph:PlaceholderLegalEntityCountry>
      <sqph:PlaceholderLegalEntityPhone>[[ Phone Number (Additional Second Party 4) ]]</sqph:PlaceholderLegalEntityPhone>
      <sqph:PlaceholderLegalEntityFaxNumber>[[ Fax Number (Additional Second Party 4) ]]</sqph:PlaceholderLegalEntityFaxNumber>
      <sqph:PlaceholderLegalEntityContractName>[[ Contact Name (Additional Second Party 4 Contact ) ]]</sqph:PlaceholderLegalEntityContractName>
      <sqph:PlaceholderLegalEntityContactTitle>[[ Contact Title (Additional Second Party 4 Contact ) ]]</sqph:PlaceholderLegalEntityContactTitle>
      <sqph:PlaceholderLegalEntityContactPhone>[[ Contact Phone Number (Additional Second Party 4 Contact ) ]]</sqph:PlaceholderLegalEntityContactPhone>
      <sqph:PlaceholderLegalEntityContactFaxNumber>[[ Contact Fax Number (Additional Second Party 4 Contact ) ]]</sqph:PlaceholderLegalEntityContactFaxNumber>
      <sqph:PlaceholderLegalEntityContractEmail>[[ Contact E-mail (Additional Second Party 4 Contact ) ]]</sqph:PlaceholderLegalEntityContractEmail>
    </sqph:SecondParty>
    <sqph:SecondParty>
      <sqph:PlaceholderLegalEntityName>[[ Name (Additional Second Party 5) ]]</sqph:PlaceholderLegalEntityName>
      <sqph:PlaceholderLegalEntityDBA>[[ Doing Business As  (Additional Second Party 5) ]]</sqph:PlaceholderLegalEntityDBA>
      <sqph:PlaceholderLegalEntityOtherNames>[[ Other Names (Additional Second Party 5) ]]</sqph:PlaceholderLegalEntityOtherNames>
      <sqph:PlaceholderLegalEntityAddress1>[[ Street Line 1 (Additional Second Party 5) ]]</sqph:PlaceholderLegalEntityAddress1>
      <sqph:PlaceholderLegalEntityAddress2>[[ Street Line 2 (Additional Second Party 5) ]]</sqph:PlaceholderLegalEntityAddress2>
      <sqph:PlaceholderLegalEntityAddress3>[[ Street Line 3 (Additional Second Party 5) ]]</sqph:PlaceholderLegalEntityAddress3>
      <sqph:PlaceholderLegalEntityCityTown>[[ City/Town (Additional Second Party 5) ]]</sqph:PlaceholderLegalEntityCityTown>
      <sqph:PlaceholderLegalEntityStateProvince>[[ State/Province (Additional Second Party 5) ]]</sqph:PlaceholderLegalEntityStateProvince>
      <sqph:PlaceholderLegalEntityPostalCode>[[ Postal Code (Additional Second Party 5) ]]</sqph:PlaceholderLegalEntityPostalCode>
      <sqph:PlaceholderLegalEntityCountry>[[ Country (Additional Second Party 5) ]]</sqph:PlaceholderLegalEntityCountry>
      <sqph:PlaceholderLegalEntityPhone>[[ Phone Number (Additional Second Party 5) ]]</sqph:PlaceholderLegalEntityPhone>
      <sqph:PlaceholderLegalEntityFaxNumber>[[ Fax Number (Additional Second Party 5) ]]</sqph:PlaceholderLegalEntityFaxNumber>
      <sqph:PlaceholderLegalEntityContractName>[[ Contact Name (Additional Second Party 5 Contact ) ]]</sqph:PlaceholderLegalEntityContractName>
      <sqph:PlaceholderLegalEntityContactTitle>[[ Contact Title (Additional Second Party 5 Contact ) ]]</sqph:PlaceholderLegalEntityContactTitle>
      <sqph:PlaceholderLegalEntityContactPhone>[[ Contact Phone Number (Additional Second Party 5 Contact ) ]]</sqph:PlaceholderLegalEntityContactPhone>
      <sqph:PlaceholderLegalEntityContactFaxNumber>[[ Contact Fax Number (Additional Second Party 5 Contact ) ]]</sqph:PlaceholderLegalEntityContactFaxNumber>
      <sqph:PlaceholderLegalEntityContractEmail>[[ Contact E-mail (Additional Second Party 5 Contact ) ]]</sqph:PlaceholderLegalEntityContractEmail>
    </sqph:SecondParty>
  </sqph:SecondParties>
  <sqph:Approvers>
    <sqph:Step>
      <sqph:PlaceholderStepName>Approval</sqph:PlaceholderStepName>
      <sqph:PlaceholderApproverNameDate>Step Skipped</sqph:PlaceholderApproverNameDate>
      <sqph:PlaceholderApproverName>Step Skipped</sqph:PlaceholderApproverName>
      <sqph:PlaceholderApproverDate>Step Skipped</sqph:PlaceholderApproverDate>
    </sqph:Step>
    <sqph:Step>
      <sqph:PlaceholderStepName>8 Day Standstill Complete</sqph:PlaceholderStepName>
      <sqph:PlaceholderApproverNameDate>[[ Approver Name and Date (Step: 8 Day Standstill Complete) ]]</sqph:PlaceholderApproverNameDate>
      <sqph:PlaceholderApproverName>[[ Approver Name (Step: 8 Day Standstill Complete) ]]</sqph:PlaceholderApproverName>
      <sqph:PlaceholderApproverDate>[[ Approval Date (Step: 8 Day Standstill Complete) ]]</sqph:PlaceholderApproverDate>
    </sqph:Step>
  </sqph:Approvers>
</sqph:contractplaceholders>
</file>

<file path=customXml/item3.xml><?xml version="1.0" encoding="utf-8"?>
<sq:SciQuestMetadata xmlns:sq="http://schemas.sciquest.com/tcm/office/v1">
  <sq:AppVersion>15.3</sq:AppVersion>
  <sq:DocumentId>1403823</sq:DocumentId>
  <sq:AttachmentId>6499277</sq:AttachmentId>
  <sq:DocumentType>0</sq:DocumentType>
  <sq:DocumentVersion>1</sq:DocumentVersion>
</sq:SciQuestMetadat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9865A1-F0AD-476E-B390-0A03166A8D63}">
  <ds:schemaRefs>
    <ds:schemaRef ds:uri="http://schemas.sciquest.com/tcm/office/placeholders/v1"/>
  </ds:schemaRefs>
</ds:datastoreItem>
</file>

<file path=customXml/itemProps3.xml><?xml version="1.0" encoding="utf-8"?>
<ds:datastoreItem xmlns:ds="http://schemas.openxmlformats.org/officeDocument/2006/customXml" ds:itemID="{A875583D-A1EA-49FD-BAF2-DC6E35C3DDBA}">
  <ds:schemaRefs>
    <ds:schemaRef ds:uri="http://schemas.sciquest.com/tcm/office/v1"/>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910</Words>
  <Characters>5188</Characters>
  <Application>Microsoft Office Word</Application>
  <DocSecurity>0</DocSecurity>
  <Lines>43</Lines>
  <Paragraphs>12</Paragraphs>
  <ScaleCrop>false</ScaleCrop>
  <Company/>
  <LinksUpToDate>false</LinksUpToDate>
  <CharactersWithSpaces>6086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Pauline Hanratty</dc:creator>
  <cp:lastModifiedBy>Matthew Stoltzer</cp:lastModifiedBy>
  <cp:revision>2</cp:revision>
  <dcterms:created xsi:type="dcterms:W3CDTF">2026-01-30T14:10:00Z</dcterms:created>
  <dcterms:modified xsi:type="dcterms:W3CDTF">2026-01-30T14:10:00Z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ActiveBits">
    <vt:lpwstr>1017856</vt:lpwstr>
  </property>
  <property fmtid="{D5CDD505-2E9C-101B-9397-08002B2CF9AE}" pid="3" name="CUS_DocIDChunk0">
    <vt:lpwstr>LEGAL\014611\00057\74113158.v1-6/2/25</vt:lpwstr>
  </property>
  <property fmtid="{D5CDD505-2E9C-101B-9397-08002B2CF9AE}" pid="4" name="CUS_DocIDLocation">
    <vt:lpwstr>EVERY_PAGE</vt:lpwstr>
  </property>
  <property fmtid="{D5CDD505-2E9C-101B-9397-08002B2CF9AE}" pid="5" name="CUS_DocIDReference">
    <vt:lpwstr>everyPage</vt:lpwstr>
  </property>
  <property fmtid="{D5CDD505-2E9C-101B-9397-08002B2CF9AE}" pid="6" name="CUS_DocIDString">
    <vt:lpwstr>LEGAL\014611\00057\74113158.v1-6/2/25</vt:lpwstr>
  </property>
  <property fmtid="{D5CDD505-2E9C-101B-9397-08002B2CF9AE}" pid="7" name="gCurrentVersion">
    <vt:lpwstr>17 November 2017 D1V6</vt:lpwstr>
  </property>
  <property fmtid="{D5CDD505-2E9C-101B-9397-08002B2CF9AE}" pid="8" name="iManageFooter">
    <vt:lpwstr>74113158v1</vt:lpwstr>
  </property>
</Properties>
</file>